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7B" w:rsidRDefault="00195808">
      <w:pPr>
        <w:spacing w:line="360" w:lineRule="auto"/>
        <w:jc w:val="center"/>
        <w:rPr>
          <w:rFonts w:ascii="Times New Roman" w:hAnsi="Times New Roman"/>
          <w:color w:val="000000"/>
          <w:kern w:val="0"/>
          <w:sz w:val="24"/>
        </w:rPr>
      </w:pPr>
      <w:r>
        <w:rPr>
          <w:rFonts w:ascii="Times New Roman" w:hAnsi="Times New Roman" w:hint="eastAsia"/>
          <w:color w:val="000000"/>
          <w:kern w:val="0"/>
          <w:sz w:val="24"/>
        </w:rPr>
        <w:t>证券代码：</w:t>
      </w:r>
      <w:r>
        <w:rPr>
          <w:rFonts w:ascii="Times New Roman" w:hAnsi="Times New Roman"/>
          <w:color w:val="000000"/>
          <w:kern w:val="0"/>
          <w:sz w:val="24"/>
        </w:rPr>
        <w:t xml:space="preserve">002785           </w:t>
      </w:r>
      <w:r>
        <w:rPr>
          <w:rFonts w:ascii="Times New Roman" w:hAnsi="Times New Roman" w:hint="eastAsia"/>
          <w:color w:val="000000"/>
          <w:kern w:val="0"/>
          <w:sz w:val="24"/>
        </w:rPr>
        <w:t>证券简称：万里石</w:t>
      </w:r>
      <w:r>
        <w:rPr>
          <w:rFonts w:ascii="Times New Roman" w:hAnsi="Times New Roman"/>
          <w:color w:val="000000"/>
          <w:kern w:val="0"/>
          <w:sz w:val="24"/>
        </w:rPr>
        <w:t xml:space="preserve">          </w:t>
      </w:r>
      <w:r>
        <w:rPr>
          <w:rFonts w:ascii="Times New Roman" w:hAnsi="Times New Roman" w:hint="eastAsia"/>
          <w:color w:val="000000"/>
          <w:kern w:val="0"/>
          <w:sz w:val="24"/>
        </w:rPr>
        <w:t>公告编号：</w:t>
      </w:r>
      <w:r w:rsidR="008654CD">
        <w:rPr>
          <w:rFonts w:ascii="Times New Roman" w:hAnsi="Times New Roman"/>
          <w:color w:val="000000"/>
          <w:kern w:val="0"/>
          <w:sz w:val="24"/>
        </w:rPr>
        <w:t>201</w:t>
      </w:r>
      <w:r w:rsidR="00FC6402">
        <w:rPr>
          <w:rFonts w:ascii="Times New Roman" w:hAnsi="Times New Roman" w:hint="eastAsia"/>
          <w:color w:val="000000"/>
          <w:kern w:val="0"/>
          <w:sz w:val="24"/>
        </w:rPr>
        <w:t>9</w:t>
      </w:r>
      <w:r>
        <w:rPr>
          <w:rFonts w:ascii="Times New Roman" w:hAnsi="Times New Roman"/>
          <w:color w:val="000000"/>
          <w:kern w:val="0"/>
          <w:sz w:val="24"/>
        </w:rPr>
        <w:t>-</w:t>
      </w:r>
      <w:r>
        <w:rPr>
          <w:rFonts w:ascii="Times New Roman" w:hAnsi="Times New Roman" w:hint="eastAsia"/>
          <w:color w:val="000000"/>
          <w:kern w:val="0"/>
          <w:sz w:val="24"/>
        </w:rPr>
        <w:t>0</w:t>
      </w:r>
      <w:r w:rsidR="00623E9A">
        <w:rPr>
          <w:rFonts w:ascii="Times New Roman" w:hAnsi="Times New Roman" w:hint="eastAsia"/>
          <w:color w:val="000000"/>
          <w:kern w:val="0"/>
          <w:sz w:val="24"/>
        </w:rPr>
        <w:t>58</w:t>
      </w:r>
    </w:p>
    <w:p w:rsidR="006B5E7B" w:rsidRDefault="00195808">
      <w:pPr>
        <w:spacing w:beforeLines="50" w:before="156"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厦门万里石股份有限公司</w:t>
      </w:r>
    </w:p>
    <w:p w:rsidR="00957212" w:rsidRDefault="00195808" w:rsidP="00957212">
      <w:pPr>
        <w:spacing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关于</w:t>
      </w:r>
      <w:r w:rsidR="00C54432">
        <w:rPr>
          <w:rFonts w:ascii="Times New Roman" w:hAnsi="Times New Roman" w:hint="eastAsia"/>
          <w:color w:val="000000"/>
          <w:kern w:val="0"/>
          <w:sz w:val="36"/>
          <w:szCs w:val="36"/>
        </w:rPr>
        <w:t>第一大股东股权协议</w:t>
      </w:r>
      <w:r w:rsidR="00957212">
        <w:rPr>
          <w:rFonts w:ascii="Times New Roman" w:hAnsi="Times New Roman" w:hint="eastAsia"/>
          <w:color w:val="000000"/>
          <w:kern w:val="0"/>
          <w:sz w:val="36"/>
          <w:szCs w:val="36"/>
        </w:rPr>
        <w:t>转让暨权益变动</w:t>
      </w:r>
    </w:p>
    <w:p w:rsidR="006B5E7B" w:rsidRDefault="00C54432">
      <w:pPr>
        <w:spacing w:afterLines="50" w:after="156"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的</w:t>
      </w:r>
      <w:r w:rsidR="00195808">
        <w:rPr>
          <w:rFonts w:ascii="Times New Roman" w:hAnsi="Times New Roman" w:hint="eastAsia"/>
          <w:color w:val="000000"/>
          <w:kern w:val="0"/>
          <w:sz w:val="36"/>
          <w:szCs w:val="36"/>
        </w:rPr>
        <w:t>提示性公告</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6B5E7B">
        <w:tc>
          <w:tcPr>
            <w:tcW w:w="8296" w:type="dxa"/>
            <w:tcBorders>
              <w:top w:val="single" w:sz="4" w:space="0" w:color="auto"/>
              <w:left w:val="single" w:sz="4" w:space="0" w:color="auto"/>
              <w:bottom w:val="single" w:sz="4" w:space="0" w:color="auto"/>
              <w:right w:val="single" w:sz="4" w:space="0" w:color="auto"/>
            </w:tcBorders>
          </w:tcPr>
          <w:p w:rsidR="006B5E7B" w:rsidRDefault="00195808" w:rsidP="009D272A">
            <w:pPr>
              <w:autoSpaceDE w:val="0"/>
              <w:autoSpaceDN w:val="0"/>
              <w:adjustRightInd w:val="0"/>
              <w:spacing w:line="360" w:lineRule="auto"/>
              <w:ind w:firstLineChars="200" w:firstLine="480"/>
              <w:rPr>
                <w:rFonts w:ascii="Times New Roman" w:hAnsi="Times New Roman"/>
                <w:color w:val="000000"/>
                <w:kern w:val="0"/>
                <w:sz w:val="24"/>
              </w:rPr>
            </w:pPr>
            <w:r>
              <w:rPr>
                <w:rFonts w:ascii="Times New Roman" w:hAnsi="Times New Roman" w:hint="eastAsia"/>
                <w:kern w:val="0"/>
                <w:sz w:val="24"/>
                <w:szCs w:val="20"/>
              </w:rPr>
              <w:t>本公司及董事会全体成员保证公告内容真实、准确、完整，</w:t>
            </w:r>
            <w:r>
              <w:rPr>
                <w:rFonts w:ascii="Times New Roman" w:hAnsi="Times New Roman" w:hint="eastAsia"/>
                <w:kern w:val="0"/>
                <w:sz w:val="24"/>
                <w:szCs w:val="20"/>
              </w:rPr>
              <w:t xml:space="preserve"> </w:t>
            </w:r>
            <w:r>
              <w:rPr>
                <w:rFonts w:ascii="Times New Roman" w:hAnsi="Times New Roman" w:hint="eastAsia"/>
                <w:kern w:val="0"/>
                <w:sz w:val="24"/>
                <w:szCs w:val="20"/>
              </w:rPr>
              <w:t>并对公告中的虚假记载、误导性陈述或者重大遗漏承担责任。</w:t>
            </w:r>
          </w:p>
        </w:tc>
      </w:tr>
    </w:tbl>
    <w:p w:rsidR="006B5E7B" w:rsidRPr="00F45181" w:rsidRDefault="00AB0B1F" w:rsidP="00F72B7F">
      <w:pPr>
        <w:spacing w:line="480" w:lineRule="exact"/>
        <w:jc w:val="left"/>
        <w:rPr>
          <w:rFonts w:ascii="Times New Roman" w:hAnsi="Times New Roman"/>
          <w:b/>
          <w:color w:val="000000"/>
          <w:kern w:val="0"/>
          <w:sz w:val="24"/>
        </w:rPr>
      </w:pPr>
      <w:r w:rsidRPr="00F45181">
        <w:rPr>
          <w:rFonts w:ascii="Times New Roman" w:hAnsi="Times New Roman" w:hint="eastAsia"/>
          <w:b/>
          <w:color w:val="000000"/>
          <w:kern w:val="0"/>
          <w:sz w:val="24"/>
        </w:rPr>
        <w:t>特别</w:t>
      </w:r>
      <w:r w:rsidR="00195808" w:rsidRPr="00F45181">
        <w:rPr>
          <w:rFonts w:ascii="Times New Roman" w:hAnsi="Times New Roman" w:hint="eastAsia"/>
          <w:b/>
          <w:color w:val="000000"/>
          <w:kern w:val="0"/>
          <w:sz w:val="24"/>
        </w:rPr>
        <w:t>提示：</w:t>
      </w:r>
    </w:p>
    <w:p w:rsidR="000437C1" w:rsidRPr="000C3D42" w:rsidRDefault="000437C1" w:rsidP="00D70E82">
      <w:pPr>
        <w:spacing w:line="360" w:lineRule="auto"/>
        <w:ind w:firstLine="482"/>
        <w:rPr>
          <w:rFonts w:ascii="Times New Roman" w:hAnsi="Times New Roman"/>
          <w:sz w:val="24"/>
        </w:rPr>
      </w:pPr>
      <w:r w:rsidRPr="000C3D42">
        <w:rPr>
          <w:rFonts w:ascii="Times New Roman" w:hAnsi="Times New Roman"/>
          <w:sz w:val="24"/>
        </w:rPr>
        <w:t>1</w:t>
      </w:r>
      <w:r w:rsidRPr="000C3D42">
        <w:rPr>
          <w:rFonts w:ascii="Times New Roman" w:hAnsi="Times New Roman"/>
          <w:sz w:val="24"/>
        </w:rPr>
        <w:t>、</w:t>
      </w:r>
      <w:r w:rsidR="00957212" w:rsidRPr="000C3D42">
        <w:rPr>
          <w:rFonts w:ascii="Times New Roman" w:hAnsi="Times New Roman"/>
          <w:sz w:val="24"/>
        </w:rPr>
        <w:t>本次协议转让股份事项尚需深圳证券交易所进行合</w:t>
      </w:r>
      <w:proofErr w:type="gramStart"/>
      <w:r w:rsidR="00957212" w:rsidRPr="000C3D42">
        <w:rPr>
          <w:rFonts w:ascii="Times New Roman" w:hAnsi="Times New Roman"/>
          <w:sz w:val="24"/>
        </w:rPr>
        <w:t>规</w:t>
      </w:r>
      <w:proofErr w:type="gramEnd"/>
      <w:r w:rsidR="00957212" w:rsidRPr="000C3D42">
        <w:rPr>
          <w:rFonts w:ascii="Times New Roman" w:hAnsi="Times New Roman"/>
          <w:sz w:val="24"/>
        </w:rPr>
        <w:t>性确认后方能在中国证券登记结算有限公司深圳分公司办理流通</w:t>
      </w:r>
      <w:proofErr w:type="gramStart"/>
      <w:r w:rsidR="00957212" w:rsidRPr="000C3D42">
        <w:rPr>
          <w:rFonts w:ascii="Times New Roman" w:hAnsi="Times New Roman"/>
          <w:sz w:val="24"/>
        </w:rPr>
        <w:t>股协议</w:t>
      </w:r>
      <w:proofErr w:type="gramEnd"/>
      <w:r w:rsidR="00957212" w:rsidRPr="000C3D42">
        <w:rPr>
          <w:rFonts w:ascii="Times New Roman" w:hAnsi="Times New Roman"/>
          <w:sz w:val="24"/>
        </w:rPr>
        <w:t>转让过户手续；</w:t>
      </w:r>
    </w:p>
    <w:p w:rsidR="00957212" w:rsidRPr="000C3D42" w:rsidRDefault="00957212" w:rsidP="00957212">
      <w:pPr>
        <w:spacing w:line="360" w:lineRule="auto"/>
        <w:ind w:firstLine="482"/>
        <w:jc w:val="left"/>
        <w:rPr>
          <w:rFonts w:ascii="Times New Roman" w:hAnsi="Times New Roman"/>
          <w:sz w:val="24"/>
        </w:rPr>
      </w:pPr>
      <w:r w:rsidRPr="000C3D42">
        <w:rPr>
          <w:rFonts w:ascii="Times New Roman" w:hAnsi="Times New Roman"/>
          <w:sz w:val="24"/>
        </w:rPr>
        <w:t>2</w:t>
      </w:r>
      <w:r w:rsidRPr="000C3D42">
        <w:rPr>
          <w:rFonts w:ascii="Times New Roman" w:hAnsi="Times New Roman"/>
          <w:sz w:val="24"/>
        </w:rPr>
        <w:t>、</w:t>
      </w:r>
      <w:r w:rsidR="00B83C6B" w:rsidRPr="000C3D42">
        <w:rPr>
          <w:rFonts w:ascii="Times New Roman" w:hAnsi="Times New Roman"/>
          <w:sz w:val="24"/>
        </w:rPr>
        <w:t>本次权益变动前，上市公司无控股股东和实际控制人。本次权益变动后，上市公司仍然处于无控股股东和实际控制人状态，本次权益变动不会对上市公司治理结构及持续经营产生影响。</w:t>
      </w:r>
    </w:p>
    <w:p w:rsidR="00957212" w:rsidRPr="000C3D42" w:rsidRDefault="00957212" w:rsidP="00957212">
      <w:pPr>
        <w:spacing w:afterLines="50" w:after="156" w:line="360" w:lineRule="auto"/>
        <w:ind w:firstLine="482"/>
        <w:jc w:val="left"/>
        <w:rPr>
          <w:rFonts w:ascii="Times New Roman" w:hAnsi="Times New Roman"/>
          <w:sz w:val="24"/>
        </w:rPr>
      </w:pPr>
      <w:r w:rsidRPr="000C3D42">
        <w:rPr>
          <w:rFonts w:ascii="Times New Roman" w:hAnsi="Times New Roman"/>
          <w:sz w:val="24"/>
        </w:rPr>
        <w:t>3</w:t>
      </w:r>
      <w:r w:rsidRPr="000C3D42">
        <w:rPr>
          <w:rFonts w:ascii="Times New Roman" w:hAnsi="Times New Roman"/>
          <w:sz w:val="24"/>
        </w:rPr>
        <w:t>、本次协议转让股份事项尚存在不确定性，敬请广大投资者注意投资风险。</w:t>
      </w:r>
    </w:p>
    <w:p w:rsidR="00873736" w:rsidRPr="005F0B7C" w:rsidRDefault="00873736" w:rsidP="00E177DC">
      <w:pPr>
        <w:spacing w:beforeLines="50" w:before="156" w:afterLines="50" w:after="156" w:line="360" w:lineRule="auto"/>
        <w:ind w:firstLine="482"/>
        <w:jc w:val="left"/>
        <w:rPr>
          <w:rFonts w:ascii="Times New Roman" w:hAnsi="Times New Roman"/>
          <w:b/>
          <w:color w:val="000000"/>
          <w:kern w:val="0"/>
          <w:sz w:val="24"/>
        </w:rPr>
      </w:pPr>
      <w:r w:rsidRPr="005F0B7C">
        <w:rPr>
          <w:rFonts w:ascii="Times New Roman" w:hAnsi="Times New Roman" w:hint="eastAsia"/>
          <w:b/>
          <w:color w:val="000000"/>
          <w:kern w:val="0"/>
          <w:sz w:val="24"/>
        </w:rPr>
        <w:t>一、本次协议转让股份概述</w:t>
      </w:r>
    </w:p>
    <w:p w:rsidR="00F32AD9" w:rsidRDefault="00195808" w:rsidP="00D70E82">
      <w:pPr>
        <w:spacing w:afterLines="50" w:after="156" w:line="360" w:lineRule="auto"/>
        <w:ind w:firstLine="482"/>
        <w:rPr>
          <w:rFonts w:ascii="Times New Roman" w:hAnsi="Times New Roman"/>
          <w:color w:val="000000"/>
          <w:kern w:val="0"/>
          <w:sz w:val="24"/>
        </w:rPr>
      </w:pPr>
      <w:r>
        <w:rPr>
          <w:rFonts w:ascii="Times New Roman" w:hAnsi="Times New Roman" w:hint="eastAsia"/>
          <w:color w:val="000000"/>
          <w:kern w:val="0"/>
          <w:sz w:val="24"/>
        </w:rPr>
        <w:t>厦门万里石股份有限公司（以下简称“公司”）于</w:t>
      </w:r>
      <w:r w:rsidR="000633A0">
        <w:rPr>
          <w:rFonts w:ascii="Times New Roman" w:hAnsi="Times New Roman" w:hint="eastAsia"/>
          <w:color w:val="000000"/>
          <w:kern w:val="0"/>
          <w:sz w:val="24"/>
        </w:rPr>
        <w:t>201</w:t>
      </w:r>
      <w:r w:rsidR="00FC6402">
        <w:rPr>
          <w:rFonts w:ascii="Times New Roman" w:hAnsi="Times New Roman" w:hint="eastAsia"/>
          <w:color w:val="000000"/>
          <w:kern w:val="0"/>
          <w:sz w:val="24"/>
        </w:rPr>
        <w:t>9</w:t>
      </w:r>
      <w:r>
        <w:rPr>
          <w:rFonts w:ascii="Times New Roman" w:hAnsi="Times New Roman" w:hint="eastAsia"/>
          <w:color w:val="000000"/>
          <w:kern w:val="0"/>
          <w:sz w:val="24"/>
        </w:rPr>
        <w:t>年</w:t>
      </w:r>
      <w:r w:rsidR="006D013B">
        <w:rPr>
          <w:rFonts w:ascii="Times New Roman" w:hAnsi="Times New Roman" w:hint="eastAsia"/>
          <w:color w:val="000000"/>
          <w:kern w:val="0"/>
          <w:sz w:val="24"/>
        </w:rPr>
        <w:t>9</w:t>
      </w:r>
      <w:r>
        <w:rPr>
          <w:rFonts w:ascii="Times New Roman" w:hAnsi="Times New Roman" w:hint="eastAsia"/>
          <w:color w:val="000000"/>
          <w:kern w:val="0"/>
          <w:sz w:val="24"/>
        </w:rPr>
        <w:t>月</w:t>
      </w:r>
      <w:r w:rsidR="00F32AD9">
        <w:rPr>
          <w:rFonts w:ascii="Times New Roman" w:hAnsi="Times New Roman" w:hint="eastAsia"/>
          <w:color w:val="000000"/>
          <w:kern w:val="0"/>
          <w:sz w:val="24"/>
        </w:rPr>
        <w:t>8</w:t>
      </w:r>
      <w:r>
        <w:rPr>
          <w:rFonts w:ascii="Times New Roman" w:hAnsi="Times New Roman" w:hint="eastAsia"/>
          <w:color w:val="000000"/>
          <w:kern w:val="0"/>
          <w:sz w:val="24"/>
        </w:rPr>
        <w:t>日</w:t>
      </w:r>
      <w:r w:rsidR="00C54432">
        <w:rPr>
          <w:rFonts w:ascii="Times New Roman" w:hAnsi="Times New Roman" w:hint="eastAsia"/>
          <w:color w:val="000000"/>
          <w:kern w:val="0"/>
          <w:sz w:val="24"/>
        </w:rPr>
        <w:t>接到</w:t>
      </w:r>
      <w:r>
        <w:rPr>
          <w:rFonts w:ascii="Times New Roman" w:hAnsi="Times New Roman" w:hint="eastAsia"/>
          <w:color w:val="000000"/>
          <w:kern w:val="0"/>
          <w:sz w:val="24"/>
        </w:rPr>
        <w:t>公司</w:t>
      </w:r>
      <w:r w:rsidR="00C54432">
        <w:rPr>
          <w:rFonts w:ascii="Times New Roman" w:hAnsi="Times New Roman" w:hint="eastAsia"/>
          <w:color w:val="000000"/>
          <w:kern w:val="0"/>
          <w:sz w:val="24"/>
        </w:rPr>
        <w:t>第一大</w:t>
      </w:r>
      <w:r>
        <w:rPr>
          <w:rFonts w:ascii="Times New Roman" w:hAnsi="Times New Roman" w:hint="eastAsia"/>
          <w:color w:val="000000"/>
          <w:kern w:val="0"/>
          <w:sz w:val="24"/>
        </w:rPr>
        <w:t>股东</w:t>
      </w:r>
      <w:r w:rsidR="00FC6402">
        <w:rPr>
          <w:rFonts w:ascii="Times New Roman" w:hAnsi="Times New Roman" w:hint="eastAsia"/>
          <w:color w:val="000000"/>
          <w:kern w:val="0"/>
          <w:sz w:val="24"/>
        </w:rPr>
        <w:t>FINSTONE AG</w:t>
      </w:r>
      <w:r>
        <w:rPr>
          <w:rFonts w:ascii="Times New Roman" w:hAnsi="Times New Roman" w:hint="eastAsia"/>
          <w:color w:val="000000"/>
          <w:kern w:val="0"/>
          <w:sz w:val="24"/>
        </w:rPr>
        <w:t>的</w:t>
      </w:r>
      <w:r w:rsidR="00C54432">
        <w:rPr>
          <w:rFonts w:ascii="Times New Roman" w:hAnsi="Times New Roman" w:hint="eastAsia"/>
          <w:color w:val="000000"/>
          <w:kern w:val="0"/>
          <w:sz w:val="24"/>
        </w:rPr>
        <w:t>通知</w:t>
      </w:r>
      <w:r>
        <w:rPr>
          <w:rFonts w:ascii="Times New Roman" w:hAnsi="Times New Roman" w:hint="eastAsia"/>
          <w:color w:val="000000"/>
          <w:kern w:val="0"/>
          <w:sz w:val="24"/>
        </w:rPr>
        <w:t>，</w:t>
      </w:r>
      <w:r w:rsidR="008A5E9B">
        <w:rPr>
          <w:rFonts w:ascii="Times New Roman" w:hAnsi="Times New Roman" w:hint="eastAsia"/>
          <w:color w:val="000000"/>
          <w:kern w:val="0"/>
          <w:sz w:val="24"/>
        </w:rPr>
        <w:t>FINSTONE</w:t>
      </w:r>
      <w:r w:rsidR="002A2B56">
        <w:rPr>
          <w:rFonts w:ascii="Times New Roman" w:hAnsi="Times New Roman"/>
          <w:color w:val="000000"/>
          <w:kern w:val="0"/>
          <w:sz w:val="24"/>
        </w:rPr>
        <w:t xml:space="preserve"> AG</w:t>
      </w:r>
      <w:r>
        <w:rPr>
          <w:rFonts w:ascii="Times New Roman" w:hAnsi="Times New Roman" w:hint="eastAsia"/>
          <w:color w:val="000000"/>
          <w:kern w:val="0"/>
          <w:sz w:val="24"/>
        </w:rPr>
        <w:t>于</w:t>
      </w:r>
      <w:r w:rsidR="008C04EB">
        <w:rPr>
          <w:rFonts w:ascii="Times New Roman" w:hAnsi="Times New Roman" w:hint="eastAsia"/>
          <w:color w:val="000000"/>
          <w:kern w:val="0"/>
          <w:sz w:val="24"/>
        </w:rPr>
        <w:t>201</w:t>
      </w:r>
      <w:r w:rsidR="00FC6402">
        <w:rPr>
          <w:rFonts w:ascii="Times New Roman" w:hAnsi="Times New Roman" w:hint="eastAsia"/>
          <w:color w:val="000000"/>
          <w:kern w:val="0"/>
          <w:sz w:val="24"/>
        </w:rPr>
        <w:t>9</w:t>
      </w:r>
      <w:r w:rsidR="008C04EB">
        <w:rPr>
          <w:rFonts w:ascii="Times New Roman" w:hAnsi="Times New Roman" w:hint="eastAsia"/>
          <w:color w:val="000000"/>
          <w:kern w:val="0"/>
          <w:sz w:val="24"/>
        </w:rPr>
        <w:t>年</w:t>
      </w:r>
      <w:r w:rsidR="006D013B">
        <w:rPr>
          <w:rFonts w:ascii="Times New Roman" w:hAnsi="Times New Roman" w:hint="eastAsia"/>
          <w:color w:val="000000"/>
          <w:kern w:val="0"/>
          <w:sz w:val="24"/>
        </w:rPr>
        <w:t>9</w:t>
      </w:r>
      <w:r w:rsidR="008C04EB">
        <w:rPr>
          <w:rFonts w:ascii="Times New Roman" w:hAnsi="Times New Roman" w:hint="eastAsia"/>
          <w:color w:val="000000"/>
          <w:kern w:val="0"/>
          <w:sz w:val="24"/>
        </w:rPr>
        <w:t>月</w:t>
      </w:r>
      <w:r w:rsidR="00F32AD9">
        <w:rPr>
          <w:rFonts w:ascii="Times New Roman" w:hAnsi="Times New Roman" w:hint="eastAsia"/>
          <w:color w:val="000000"/>
          <w:kern w:val="0"/>
          <w:sz w:val="24"/>
        </w:rPr>
        <w:t>8</w:t>
      </w:r>
      <w:r w:rsidR="008C04EB">
        <w:rPr>
          <w:rFonts w:ascii="Times New Roman" w:hAnsi="Times New Roman" w:hint="eastAsia"/>
          <w:color w:val="000000"/>
          <w:kern w:val="0"/>
          <w:sz w:val="24"/>
        </w:rPr>
        <w:t>日</w:t>
      </w:r>
      <w:r w:rsidR="009A5AB2">
        <w:rPr>
          <w:rFonts w:ascii="Times New Roman" w:hAnsi="Times New Roman" w:hint="eastAsia"/>
          <w:color w:val="000000"/>
          <w:kern w:val="0"/>
          <w:sz w:val="24"/>
        </w:rPr>
        <w:t>与</w:t>
      </w:r>
      <w:r w:rsidR="009A5AB2" w:rsidRPr="005F1B57">
        <w:rPr>
          <w:rFonts w:ascii="Times New Roman" w:hAnsi="Times New Roman" w:hint="eastAsia"/>
          <w:sz w:val="24"/>
        </w:rPr>
        <w:t>金麟四海有限公司</w:t>
      </w:r>
      <w:r w:rsidR="009A5AB2">
        <w:rPr>
          <w:rFonts w:ascii="Times New Roman" w:hAnsi="Times New Roman" w:hint="eastAsia"/>
          <w:sz w:val="24"/>
        </w:rPr>
        <w:t>（以下简称“金</w:t>
      </w:r>
      <w:r w:rsidR="00304D04">
        <w:rPr>
          <w:rFonts w:ascii="Times New Roman" w:hAnsi="Times New Roman" w:hint="eastAsia"/>
          <w:sz w:val="24"/>
        </w:rPr>
        <w:t>麟</w:t>
      </w:r>
      <w:r w:rsidR="009A5AB2">
        <w:rPr>
          <w:rFonts w:ascii="Times New Roman" w:hAnsi="Times New Roman" w:hint="eastAsia"/>
          <w:sz w:val="24"/>
        </w:rPr>
        <w:t>四海”）</w:t>
      </w:r>
      <w:r w:rsidR="004C11D6">
        <w:rPr>
          <w:rFonts w:ascii="Times New Roman" w:hAnsi="Times New Roman" w:hint="eastAsia"/>
          <w:sz w:val="24"/>
        </w:rPr>
        <w:t>及</w:t>
      </w:r>
      <w:r w:rsidR="007D1F00" w:rsidRPr="006E71F9">
        <w:rPr>
          <w:rFonts w:ascii="Times New Roman" w:hAnsi="Times New Roman" w:hint="eastAsia"/>
          <w:sz w:val="24"/>
        </w:rPr>
        <w:t>八大处科技集团有限公司</w:t>
      </w:r>
      <w:r w:rsidR="004C11D6">
        <w:rPr>
          <w:rFonts w:ascii="Times New Roman" w:hAnsi="Times New Roman" w:hint="eastAsia"/>
          <w:sz w:val="24"/>
        </w:rPr>
        <w:t>（以下简称“</w:t>
      </w:r>
      <w:r w:rsidR="006E71F9">
        <w:rPr>
          <w:rFonts w:ascii="Times New Roman" w:hAnsi="Times New Roman" w:hint="eastAsia"/>
          <w:sz w:val="24"/>
        </w:rPr>
        <w:t>八大处</w:t>
      </w:r>
      <w:r w:rsidR="004C11D6">
        <w:rPr>
          <w:rFonts w:ascii="Times New Roman" w:hAnsi="Times New Roman" w:hint="eastAsia"/>
          <w:sz w:val="24"/>
        </w:rPr>
        <w:t>”）</w:t>
      </w:r>
      <w:r w:rsidR="009A5AB2">
        <w:rPr>
          <w:rFonts w:ascii="Times New Roman" w:hAnsi="Times New Roman" w:hint="eastAsia"/>
          <w:sz w:val="24"/>
        </w:rPr>
        <w:t>签订</w:t>
      </w:r>
      <w:r w:rsidR="00247DE2">
        <w:rPr>
          <w:rFonts w:ascii="Times New Roman" w:hAnsi="Times New Roman" w:hint="eastAsia"/>
          <w:sz w:val="24"/>
        </w:rPr>
        <w:t>《股权转让协议》，</w:t>
      </w:r>
      <w:r w:rsidR="00873736">
        <w:rPr>
          <w:rFonts w:ascii="Times New Roman" w:hAnsi="Times New Roman" w:hint="eastAsia"/>
          <w:sz w:val="24"/>
        </w:rPr>
        <w:t>约定</w:t>
      </w:r>
      <w:r w:rsidR="00873736">
        <w:rPr>
          <w:rFonts w:ascii="Times New Roman" w:hAnsi="Times New Roman" w:hint="eastAsia"/>
          <w:color w:val="000000"/>
          <w:kern w:val="0"/>
          <w:sz w:val="24"/>
        </w:rPr>
        <w:t>通过协议转让的方式转让其持有的公司无限</w:t>
      </w:r>
      <w:proofErr w:type="gramStart"/>
      <w:r w:rsidR="00873736">
        <w:rPr>
          <w:rFonts w:ascii="Times New Roman" w:hAnsi="Times New Roman" w:hint="eastAsia"/>
          <w:color w:val="000000"/>
          <w:kern w:val="0"/>
          <w:sz w:val="24"/>
        </w:rPr>
        <w:t>售流通</w:t>
      </w:r>
      <w:proofErr w:type="gramEnd"/>
      <w:r w:rsidR="00873736">
        <w:rPr>
          <w:rFonts w:ascii="Times New Roman" w:hAnsi="Times New Roman" w:hint="eastAsia"/>
          <w:color w:val="000000"/>
          <w:kern w:val="0"/>
          <w:sz w:val="24"/>
        </w:rPr>
        <w:t>股共计</w:t>
      </w:r>
      <w:r w:rsidR="00F32AD9">
        <w:rPr>
          <w:rFonts w:ascii="Times New Roman" w:hAnsi="Times New Roman" w:hint="eastAsia"/>
          <w:color w:val="000000"/>
          <w:kern w:val="0"/>
          <w:sz w:val="24"/>
        </w:rPr>
        <w:t>43</w:t>
      </w:r>
      <w:r w:rsidR="00873736" w:rsidRPr="00195808">
        <w:rPr>
          <w:rFonts w:ascii="Times New Roman" w:hAnsi="Times New Roman"/>
          <w:color w:val="000000"/>
          <w:kern w:val="0"/>
          <w:sz w:val="24"/>
        </w:rPr>
        <w:t>,</w:t>
      </w:r>
      <w:r w:rsidR="00873736">
        <w:rPr>
          <w:rFonts w:ascii="Times New Roman" w:hAnsi="Times New Roman" w:hint="eastAsia"/>
          <w:color w:val="000000"/>
          <w:kern w:val="0"/>
          <w:sz w:val="24"/>
        </w:rPr>
        <w:t>050</w:t>
      </w:r>
      <w:r w:rsidR="00873736" w:rsidRPr="00195808">
        <w:rPr>
          <w:rFonts w:ascii="Times New Roman" w:hAnsi="Times New Roman" w:hint="eastAsia"/>
          <w:color w:val="000000"/>
          <w:kern w:val="0"/>
          <w:sz w:val="24"/>
        </w:rPr>
        <w:t>,</w:t>
      </w:r>
      <w:r w:rsidR="00873736" w:rsidRPr="00195808">
        <w:rPr>
          <w:rFonts w:ascii="Times New Roman" w:hAnsi="Times New Roman"/>
          <w:color w:val="000000"/>
          <w:kern w:val="0"/>
          <w:sz w:val="24"/>
        </w:rPr>
        <w:t>0</w:t>
      </w:r>
      <w:r w:rsidR="00873736">
        <w:rPr>
          <w:rFonts w:ascii="Times New Roman" w:hAnsi="Times New Roman" w:hint="eastAsia"/>
          <w:color w:val="000000"/>
          <w:kern w:val="0"/>
          <w:sz w:val="24"/>
        </w:rPr>
        <w:t>5</w:t>
      </w:r>
      <w:r w:rsidR="00873736" w:rsidRPr="00195808">
        <w:rPr>
          <w:rFonts w:ascii="Times New Roman" w:hAnsi="Times New Roman"/>
          <w:color w:val="000000"/>
          <w:kern w:val="0"/>
          <w:sz w:val="24"/>
        </w:rPr>
        <w:t>0</w:t>
      </w:r>
      <w:r w:rsidR="00873736">
        <w:rPr>
          <w:rFonts w:ascii="Times New Roman" w:hAnsi="Times New Roman" w:hint="eastAsia"/>
          <w:color w:val="000000"/>
          <w:kern w:val="0"/>
          <w:sz w:val="24"/>
        </w:rPr>
        <w:t>股，占公司总股本的</w:t>
      </w:r>
      <w:r w:rsidR="00F32AD9">
        <w:rPr>
          <w:rFonts w:ascii="Times New Roman" w:hAnsi="Times New Roman" w:hint="eastAsia"/>
          <w:color w:val="000000"/>
          <w:kern w:val="0"/>
          <w:sz w:val="24"/>
        </w:rPr>
        <w:t>21.53</w:t>
      </w:r>
      <w:r w:rsidR="00873736">
        <w:rPr>
          <w:rFonts w:ascii="Times New Roman" w:hAnsi="Times New Roman" w:hint="eastAsia"/>
          <w:color w:val="000000"/>
          <w:kern w:val="0"/>
          <w:sz w:val="24"/>
        </w:rPr>
        <w:t>%</w:t>
      </w:r>
      <w:r w:rsidR="00873736">
        <w:rPr>
          <w:rFonts w:ascii="Times New Roman" w:hAnsi="Times New Roman" w:hint="eastAsia"/>
          <w:sz w:val="24"/>
        </w:rPr>
        <w:t>。其中</w:t>
      </w:r>
      <w:r w:rsidR="00F3641C">
        <w:rPr>
          <w:rFonts w:ascii="Times New Roman" w:hAnsi="Times New Roman" w:hint="eastAsia"/>
          <w:sz w:val="24"/>
        </w:rPr>
        <w:t>金</w:t>
      </w:r>
      <w:r w:rsidR="00304D04">
        <w:rPr>
          <w:rFonts w:ascii="Times New Roman" w:hAnsi="Times New Roman" w:hint="eastAsia"/>
          <w:sz w:val="24"/>
        </w:rPr>
        <w:t>麟</w:t>
      </w:r>
      <w:r w:rsidR="00F3641C">
        <w:rPr>
          <w:rFonts w:ascii="Times New Roman" w:hAnsi="Times New Roman" w:hint="eastAsia"/>
          <w:sz w:val="24"/>
        </w:rPr>
        <w:t>四海受让股数为</w:t>
      </w:r>
      <w:r w:rsidR="00F3641C">
        <w:rPr>
          <w:rFonts w:ascii="Times New Roman" w:hAnsi="Times New Roman" w:hint="eastAsia"/>
          <w:sz w:val="24"/>
        </w:rPr>
        <w:t>23,000,000</w:t>
      </w:r>
      <w:r w:rsidR="00572BD4">
        <w:rPr>
          <w:rFonts w:ascii="Times New Roman" w:hAnsi="Times New Roman" w:hint="eastAsia"/>
          <w:sz w:val="24"/>
        </w:rPr>
        <w:t>股</w:t>
      </w:r>
      <w:r w:rsidR="00F3641C">
        <w:rPr>
          <w:rFonts w:ascii="Times New Roman" w:hAnsi="Times New Roman" w:hint="eastAsia"/>
          <w:sz w:val="24"/>
        </w:rPr>
        <w:t>，占公司总股本的</w:t>
      </w:r>
      <w:r w:rsidR="00F3641C">
        <w:rPr>
          <w:rFonts w:ascii="Times New Roman" w:hAnsi="Times New Roman" w:hint="eastAsia"/>
          <w:sz w:val="24"/>
        </w:rPr>
        <w:t>11.50%</w:t>
      </w:r>
      <w:r w:rsidR="0038415E">
        <w:rPr>
          <w:rFonts w:ascii="Times New Roman" w:hAnsi="Times New Roman" w:hint="eastAsia"/>
          <w:color w:val="000000"/>
          <w:kern w:val="0"/>
          <w:sz w:val="24"/>
        </w:rPr>
        <w:t>；</w:t>
      </w:r>
      <w:r w:rsidR="00304D04">
        <w:rPr>
          <w:rFonts w:ascii="Times New Roman" w:hAnsi="Times New Roman" w:hint="eastAsia"/>
          <w:sz w:val="24"/>
        </w:rPr>
        <w:t>八大处</w:t>
      </w:r>
      <w:r w:rsidR="00873736">
        <w:rPr>
          <w:rFonts w:ascii="Times New Roman" w:hAnsi="Times New Roman" w:hint="eastAsia"/>
          <w:sz w:val="24"/>
        </w:rPr>
        <w:t>受让股数为</w:t>
      </w:r>
      <w:r w:rsidR="00F32AD9">
        <w:rPr>
          <w:rFonts w:ascii="Times New Roman" w:hAnsi="Times New Roman" w:hint="eastAsia"/>
          <w:color w:val="000000"/>
          <w:kern w:val="0"/>
          <w:sz w:val="24"/>
        </w:rPr>
        <w:t>20</w:t>
      </w:r>
      <w:r w:rsidR="00F32AD9" w:rsidRPr="00195808">
        <w:rPr>
          <w:rFonts w:ascii="Times New Roman" w:hAnsi="Times New Roman"/>
          <w:color w:val="000000"/>
          <w:kern w:val="0"/>
          <w:sz w:val="24"/>
        </w:rPr>
        <w:t>,</w:t>
      </w:r>
      <w:r w:rsidR="00F32AD9">
        <w:rPr>
          <w:rFonts w:ascii="Times New Roman" w:hAnsi="Times New Roman" w:hint="eastAsia"/>
          <w:color w:val="000000"/>
          <w:kern w:val="0"/>
          <w:sz w:val="24"/>
        </w:rPr>
        <w:t>050</w:t>
      </w:r>
      <w:r w:rsidR="00F32AD9" w:rsidRPr="00195808">
        <w:rPr>
          <w:rFonts w:ascii="Times New Roman" w:hAnsi="Times New Roman" w:hint="eastAsia"/>
          <w:color w:val="000000"/>
          <w:kern w:val="0"/>
          <w:sz w:val="24"/>
        </w:rPr>
        <w:t>,</w:t>
      </w:r>
      <w:r w:rsidR="00F32AD9" w:rsidRPr="00195808">
        <w:rPr>
          <w:rFonts w:ascii="Times New Roman" w:hAnsi="Times New Roman"/>
          <w:color w:val="000000"/>
          <w:kern w:val="0"/>
          <w:sz w:val="24"/>
        </w:rPr>
        <w:t>0</w:t>
      </w:r>
      <w:r w:rsidR="00F32AD9">
        <w:rPr>
          <w:rFonts w:ascii="Times New Roman" w:hAnsi="Times New Roman" w:hint="eastAsia"/>
          <w:color w:val="000000"/>
          <w:kern w:val="0"/>
          <w:sz w:val="24"/>
        </w:rPr>
        <w:t>5</w:t>
      </w:r>
      <w:r w:rsidR="00F32AD9" w:rsidRPr="00195808">
        <w:rPr>
          <w:rFonts w:ascii="Times New Roman" w:hAnsi="Times New Roman"/>
          <w:color w:val="000000"/>
          <w:kern w:val="0"/>
          <w:sz w:val="24"/>
        </w:rPr>
        <w:t>0</w:t>
      </w:r>
      <w:r w:rsidR="00873736">
        <w:rPr>
          <w:rFonts w:ascii="Times New Roman" w:hAnsi="Times New Roman" w:hint="eastAsia"/>
          <w:sz w:val="24"/>
        </w:rPr>
        <w:t>股，占公司总股本的</w:t>
      </w:r>
      <w:r w:rsidR="00F32AD9">
        <w:rPr>
          <w:rFonts w:ascii="Times New Roman" w:hAnsi="Times New Roman" w:hint="eastAsia"/>
          <w:color w:val="000000"/>
          <w:kern w:val="0"/>
          <w:sz w:val="24"/>
        </w:rPr>
        <w:t>10.0</w:t>
      </w:r>
      <w:r w:rsidR="005A0A58">
        <w:rPr>
          <w:rFonts w:ascii="Times New Roman" w:hAnsi="Times New Roman" w:hint="eastAsia"/>
          <w:color w:val="000000"/>
          <w:kern w:val="0"/>
          <w:sz w:val="24"/>
        </w:rPr>
        <w:t>3</w:t>
      </w:r>
      <w:r w:rsidR="00873736">
        <w:rPr>
          <w:rFonts w:ascii="Times New Roman" w:hAnsi="Times New Roman" w:hint="eastAsia"/>
          <w:sz w:val="24"/>
        </w:rPr>
        <w:t>%</w:t>
      </w:r>
      <w:r w:rsidR="0038415E">
        <w:rPr>
          <w:rFonts w:ascii="Times New Roman" w:hAnsi="Times New Roman" w:hint="eastAsia"/>
          <w:color w:val="000000"/>
          <w:kern w:val="0"/>
          <w:sz w:val="24"/>
        </w:rPr>
        <w:t>。</w:t>
      </w:r>
      <w:r w:rsidR="008429CA">
        <w:rPr>
          <w:rFonts w:ascii="Times New Roman" w:hAnsi="Times New Roman" w:hint="eastAsia"/>
          <w:color w:val="000000"/>
          <w:kern w:val="0"/>
          <w:sz w:val="24"/>
        </w:rPr>
        <w:t>本次转让后，</w:t>
      </w:r>
      <w:r w:rsidR="008429CA">
        <w:rPr>
          <w:rFonts w:ascii="Times New Roman" w:hAnsi="Times New Roman" w:hint="eastAsia"/>
          <w:color w:val="000000"/>
          <w:kern w:val="0"/>
          <w:sz w:val="24"/>
        </w:rPr>
        <w:t>FINSTONE</w:t>
      </w:r>
      <w:r w:rsidR="008429CA">
        <w:rPr>
          <w:rFonts w:ascii="Times New Roman" w:hAnsi="Times New Roman"/>
          <w:color w:val="000000"/>
          <w:kern w:val="0"/>
          <w:sz w:val="24"/>
        </w:rPr>
        <w:t xml:space="preserve"> AG</w:t>
      </w:r>
      <w:r w:rsidR="008429CA">
        <w:rPr>
          <w:rFonts w:ascii="Times New Roman" w:hAnsi="Times New Roman" w:hint="eastAsia"/>
          <w:color w:val="000000"/>
          <w:kern w:val="0"/>
          <w:sz w:val="24"/>
        </w:rPr>
        <w:t>将不再持有上市公司股份。</w:t>
      </w:r>
    </w:p>
    <w:p w:rsidR="006B5E7B" w:rsidRPr="005F0B7C" w:rsidRDefault="00873736" w:rsidP="00E177DC">
      <w:pPr>
        <w:spacing w:beforeLines="50" w:before="156" w:afterLines="50" w:after="156" w:line="360" w:lineRule="auto"/>
        <w:ind w:firstLine="482"/>
        <w:jc w:val="left"/>
        <w:rPr>
          <w:rFonts w:ascii="Times New Roman" w:hAnsi="Times New Roman"/>
          <w:b/>
          <w:color w:val="000000"/>
          <w:kern w:val="0"/>
          <w:sz w:val="24"/>
        </w:rPr>
      </w:pPr>
      <w:r w:rsidRPr="005F0B7C">
        <w:rPr>
          <w:rFonts w:ascii="Times New Roman" w:hAnsi="Times New Roman" w:hint="eastAsia"/>
          <w:b/>
          <w:color w:val="000000"/>
          <w:kern w:val="0"/>
          <w:sz w:val="24"/>
        </w:rPr>
        <w:t>二、</w:t>
      </w:r>
      <w:r w:rsidR="00195808" w:rsidRPr="005F0B7C">
        <w:rPr>
          <w:rFonts w:ascii="Times New Roman" w:hAnsi="Times New Roman" w:hint="eastAsia"/>
          <w:b/>
          <w:color w:val="000000"/>
          <w:kern w:val="0"/>
          <w:sz w:val="24"/>
        </w:rPr>
        <w:t xml:space="preserve"> </w:t>
      </w:r>
      <w:r w:rsidRPr="005F0B7C">
        <w:rPr>
          <w:rFonts w:ascii="Times New Roman" w:hAnsi="Times New Roman" w:hint="eastAsia"/>
          <w:b/>
          <w:color w:val="000000"/>
          <w:kern w:val="0"/>
          <w:sz w:val="24"/>
        </w:rPr>
        <w:t>交易各方基本情况</w:t>
      </w:r>
    </w:p>
    <w:p w:rsidR="00873736" w:rsidRPr="00D70E82" w:rsidRDefault="00873736" w:rsidP="00DB2F7C">
      <w:pPr>
        <w:spacing w:beforeLines="50" w:before="156" w:afterLines="50" w:after="156" w:line="360" w:lineRule="auto"/>
        <w:ind w:firstLine="482"/>
        <w:jc w:val="left"/>
        <w:rPr>
          <w:rFonts w:ascii="Times New Roman" w:hAnsi="Times New Roman"/>
          <w:b/>
          <w:color w:val="000000"/>
          <w:kern w:val="0"/>
          <w:sz w:val="24"/>
        </w:rPr>
      </w:pPr>
      <w:r w:rsidRPr="00D70E82">
        <w:rPr>
          <w:rFonts w:ascii="Times New Roman" w:hAnsi="Times New Roman" w:hint="eastAsia"/>
          <w:b/>
          <w:color w:val="000000"/>
          <w:kern w:val="0"/>
          <w:sz w:val="24"/>
        </w:rPr>
        <w:t>（一）转让方基本情况</w:t>
      </w:r>
    </w:p>
    <w:tbl>
      <w:tblPr>
        <w:tblW w:w="8623"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2141"/>
        <w:gridCol w:w="3827"/>
        <w:gridCol w:w="1559"/>
        <w:gridCol w:w="1096"/>
      </w:tblGrid>
      <w:tr w:rsidR="006D55A3" w:rsidRPr="00F938AB" w:rsidTr="00176A59">
        <w:trPr>
          <w:trHeight w:val="340"/>
          <w:tblHeader/>
          <w:jc w:val="center"/>
        </w:trPr>
        <w:tc>
          <w:tcPr>
            <w:tcW w:w="2141" w:type="dxa"/>
            <w:vAlign w:val="center"/>
          </w:tcPr>
          <w:p w:rsidR="006D55A3" w:rsidRPr="00F938AB" w:rsidRDefault="006D55A3" w:rsidP="00176A59">
            <w:pPr>
              <w:jc w:val="left"/>
              <w:rPr>
                <w:rFonts w:ascii="Times New Roman" w:hAnsi="Times New Roman"/>
                <w:b/>
                <w:szCs w:val="21"/>
              </w:rPr>
            </w:pPr>
            <w:r w:rsidRPr="00F938AB">
              <w:rPr>
                <w:rFonts w:ascii="Times New Roman" w:hAnsi="Times New Roman"/>
                <w:b/>
                <w:szCs w:val="21"/>
              </w:rPr>
              <w:t>公司名称</w:t>
            </w:r>
          </w:p>
        </w:tc>
        <w:tc>
          <w:tcPr>
            <w:tcW w:w="6482" w:type="dxa"/>
            <w:gridSpan w:val="3"/>
            <w:vAlign w:val="center"/>
          </w:tcPr>
          <w:p w:rsidR="006D55A3" w:rsidRPr="00F938AB" w:rsidRDefault="006D55A3" w:rsidP="00176A59">
            <w:pPr>
              <w:jc w:val="left"/>
              <w:rPr>
                <w:rFonts w:ascii="Times New Roman" w:hAnsi="Times New Roman"/>
                <w:szCs w:val="21"/>
              </w:rPr>
            </w:pPr>
            <w:proofErr w:type="spellStart"/>
            <w:r w:rsidRPr="00F938AB">
              <w:rPr>
                <w:rFonts w:ascii="Times New Roman" w:hAnsi="Times New Roman"/>
                <w:szCs w:val="21"/>
              </w:rPr>
              <w:t>Finstone</w:t>
            </w:r>
            <w:proofErr w:type="spellEnd"/>
            <w:r w:rsidRPr="00F938AB">
              <w:rPr>
                <w:rFonts w:ascii="Times New Roman" w:hAnsi="Times New Roman"/>
                <w:szCs w:val="21"/>
              </w:rPr>
              <w:t xml:space="preserve"> AG</w:t>
            </w:r>
          </w:p>
        </w:tc>
      </w:tr>
      <w:tr w:rsidR="006D55A3" w:rsidRPr="00F938AB" w:rsidTr="00176A59">
        <w:trPr>
          <w:trHeight w:val="340"/>
          <w:tblHeader/>
          <w:jc w:val="center"/>
        </w:trPr>
        <w:tc>
          <w:tcPr>
            <w:tcW w:w="2141" w:type="dxa"/>
            <w:vAlign w:val="center"/>
          </w:tcPr>
          <w:p w:rsidR="006D55A3" w:rsidRPr="00F938AB" w:rsidRDefault="006D55A3" w:rsidP="00176A59">
            <w:pPr>
              <w:spacing w:beforeLines="10" w:before="31" w:afterLines="10" w:after="31"/>
              <w:rPr>
                <w:rFonts w:ascii="Times New Roman" w:hAnsi="Times New Roman"/>
                <w:b/>
                <w:szCs w:val="21"/>
              </w:rPr>
            </w:pPr>
            <w:r w:rsidRPr="00F938AB">
              <w:rPr>
                <w:rFonts w:ascii="Times New Roman" w:hAnsi="Times New Roman"/>
                <w:b/>
                <w:szCs w:val="21"/>
              </w:rPr>
              <w:t>注册地址</w:t>
            </w:r>
          </w:p>
        </w:tc>
        <w:tc>
          <w:tcPr>
            <w:tcW w:w="6482" w:type="dxa"/>
            <w:gridSpan w:val="3"/>
            <w:vAlign w:val="center"/>
          </w:tcPr>
          <w:p w:rsidR="006D55A3" w:rsidRPr="00F938AB" w:rsidRDefault="006D55A3" w:rsidP="00176A59">
            <w:pPr>
              <w:spacing w:beforeLines="10" w:before="31" w:afterLines="10" w:after="31"/>
              <w:rPr>
                <w:rFonts w:ascii="Times New Roman" w:hAnsi="Times New Roman"/>
                <w:kern w:val="0"/>
                <w:szCs w:val="21"/>
              </w:rPr>
            </w:pPr>
            <w:r w:rsidRPr="00F938AB">
              <w:rPr>
                <w:rFonts w:ascii="Times New Roman" w:hAnsi="Times New Roman"/>
                <w:kern w:val="0"/>
                <w:szCs w:val="21"/>
              </w:rPr>
              <w:t>瑞士施维茨州</w:t>
            </w:r>
            <w:proofErr w:type="gramStart"/>
            <w:r w:rsidRPr="00F938AB">
              <w:rPr>
                <w:rFonts w:ascii="Times New Roman" w:hAnsi="Times New Roman"/>
                <w:kern w:val="0"/>
                <w:szCs w:val="21"/>
              </w:rPr>
              <w:t>普费菲孔市</w:t>
            </w:r>
            <w:proofErr w:type="spellStart"/>
            <w:proofErr w:type="gramEnd"/>
            <w:r w:rsidRPr="00F938AB">
              <w:rPr>
                <w:rFonts w:ascii="Times New Roman" w:hAnsi="Times New Roman"/>
                <w:kern w:val="0"/>
                <w:szCs w:val="21"/>
              </w:rPr>
              <w:t>Staldenbach</w:t>
            </w:r>
            <w:proofErr w:type="spellEnd"/>
            <w:r w:rsidRPr="00F938AB">
              <w:rPr>
                <w:rFonts w:ascii="Times New Roman" w:hAnsi="Times New Roman"/>
                <w:kern w:val="0"/>
                <w:szCs w:val="21"/>
              </w:rPr>
              <w:t>街</w:t>
            </w:r>
            <w:r w:rsidRPr="00F938AB">
              <w:rPr>
                <w:rFonts w:ascii="Times New Roman" w:hAnsi="Times New Roman"/>
                <w:kern w:val="0"/>
                <w:szCs w:val="21"/>
              </w:rPr>
              <w:t>30</w:t>
            </w:r>
            <w:r w:rsidRPr="00F938AB">
              <w:rPr>
                <w:rFonts w:ascii="Times New Roman" w:hAnsi="Times New Roman"/>
                <w:kern w:val="0"/>
                <w:szCs w:val="21"/>
              </w:rPr>
              <w:t>号</w:t>
            </w:r>
          </w:p>
        </w:tc>
      </w:tr>
      <w:tr w:rsidR="006D55A3" w:rsidRPr="00F938AB" w:rsidTr="00176A59">
        <w:trPr>
          <w:trHeight w:val="340"/>
          <w:tblHeader/>
          <w:jc w:val="center"/>
        </w:trPr>
        <w:tc>
          <w:tcPr>
            <w:tcW w:w="2141" w:type="dxa"/>
            <w:vAlign w:val="center"/>
          </w:tcPr>
          <w:p w:rsidR="006D55A3" w:rsidRPr="00F938AB" w:rsidRDefault="006D55A3" w:rsidP="00176A59">
            <w:pPr>
              <w:spacing w:beforeLines="10" w:before="31" w:afterLines="10" w:after="31"/>
              <w:rPr>
                <w:rFonts w:ascii="Times New Roman" w:hAnsi="Times New Roman"/>
                <w:b/>
                <w:szCs w:val="21"/>
              </w:rPr>
            </w:pPr>
            <w:r w:rsidRPr="00F938AB">
              <w:rPr>
                <w:rFonts w:ascii="Times New Roman" w:hAnsi="Times New Roman"/>
                <w:b/>
                <w:szCs w:val="21"/>
              </w:rPr>
              <w:lastRenderedPageBreak/>
              <w:t>注册号</w:t>
            </w:r>
          </w:p>
        </w:tc>
        <w:tc>
          <w:tcPr>
            <w:tcW w:w="6482" w:type="dxa"/>
            <w:gridSpan w:val="3"/>
            <w:vAlign w:val="center"/>
          </w:tcPr>
          <w:p w:rsidR="006D55A3" w:rsidRPr="00F938AB" w:rsidRDefault="006D55A3" w:rsidP="00176A59">
            <w:pPr>
              <w:spacing w:beforeLines="10" w:before="31" w:afterLines="10" w:after="31"/>
              <w:rPr>
                <w:rFonts w:ascii="Times New Roman" w:hAnsi="Times New Roman"/>
                <w:szCs w:val="21"/>
              </w:rPr>
            </w:pPr>
            <w:r w:rsidRPr="00F938AB">
              <w:rPr>
                <w:rFonts w:ascii="Times New Roman" w:hAnsi="Times New Roman"/>
                <w:szCs w:val="21"/>
              </w:rPr>
              <w:t>CH-130.3.017.617-6</w:t>
            </w:r>
          </w:p>
        </w:tc>
      </w:tr>
      <w:tr w:rsidR="006D55A3" w:rsidRPr="00F938AB" w:rsidTr="00176A59">
        <w:trPr>
          <w:trHeight w:val="340"/>
          <w:tblHeader/>
          <w:jc w:val="center"/>
        </w:trPr>
        <w:tc>
          <w:tcPr>
            <w:tcW w:w="2141" w:type="dxa"/>
            <w:vAlign w:val="center"/>
          </w:tcPr>
          <w:p w:rsidR="006D55A3" w:rsidRPr="00F938AB" w:rsidRDefault="006D55A3" w:rsidP="00176A59">
            <w:pPr>
              <w:spacing w:beforeLines="10" w:before="31" w:afterLines="10" w:after="31"/>
              <w:rPr>
                <w:rFonts w:ascii="Times New Roman" w:hAnsi="Times New Roman"/>
                <w:b/>
                <w:szCs w:val="21"/>
              </w:rPr>
            </w:pPr>
            <w:r w:rsidRPr="00F938AB">
              <w:rPr>
                <w:rFonts w:ascii="Times New Roman" w:hAnsi="Times New Roman"/>
                <w:b/>
                <w:szCs w:val="21"/>
              </w:rPr>
              <w:t>注册资本</w:t>
            </w:r>
          </w:p>
        </w:tc>
        <w:tc>
          <w:tcPr>
            <w:tcW w:w="6482" w:type="dxa"/>
            <w:gridSpan w:val="3"/>
            <w:vAlign w:val="center"/>
          </w:tcPr>
          <w:p w:rsidR="006D55A3" w:rsidRPr="00F938AB" w:rsidRDefault="006D55A3" w:rsidP="00176A59">
            <w:pPr>
              <w:widowControl/>
              <w:spacing w:beforeLines="10" w:before="31" w:afterLines="10" w:after="31"/>
              <w:rPr>
                <w:rFonts w:ascii="Times New Roman" w:hAnsi="Times New Roman"/>
                <w:kern w:val="0"/>
                <w:szCs w:val="21"/>
              </w:rPr>
            </w:pPr>
            <w:r w:rsidRPr="00F938AB">
              <w:rPr>
                <w:rFonts w:ascii="Times New Roman" w:hAnsi="Times New Roman"/>
                <w:kern w:val="0"/>
                <w:szCs w:val="21"/>
              </w:rPr>
              <w:t>总股本</w:t>
            </w:r>
            <w:r w:rsidRPr="00F938AB">
              <w:rPr>
                <w:rFonts w:ascii="Times New Roman" w:hAnsi="Times New Roman"/>
                <w:kern w:val="0"/>
                <w:szCs w:val="21"/>
              </w:rPr>
              <w:t xml:space="preserve"> 524,774 </w:t>
            </w:r>
            <w:r w:rsidRPr="00F938AB">
              <w:rPr>
                <w:rFonts w:ascii="Times New Roman" w:hAnsi="Times New Roman"/>
                <w:kern w:val="0"/>
                <w:szCs w:val="21"/>
              </w:rPr>
              <w:t>股</w:t>
            </w:r>
          </w:p>
        </w:tc>
      </w:tr>
      <w:tr w:rsidR="006D55A3" w:rsidRPr="00F938AB" w:rsidTr="00176A59">
        <w:trPr>
          <w:trHeight w:val="340"/>
          <w:tblHeader/>
          <w:jc w:val="center"/>
        </w:trPr>
        <w:tc>
          <w:tcPr>
            <w:tcW w:w="2141" w:type="dxa"/>
            <w:vAlign w:val="center"/>
          </w:tcPr>
          <w:p w:rsidR="006D55A3" w:rsidRPr="00F938AB" w:rsidRDefault="006D55A3" w:rsidP="00176A59">
            <w:pPr>
              <w:spacing w:beforeLines="10" w:before="31" w:afterLines="10" w:after="31"/>
              <w:rPr>
                <w:rFonts w:ascii="Times New Roman" w:hAnsi="Times New Roman"/>
                <w:b/>
                <w:szCs w:val="21"/>
              </w:rPr>
            </w:pPr>
            <w:r w:rsidRPr="00F938AB">
              <w:rPr>
                <w:rFonts w:ascii="Times New Roman" w:hAnsi="Times New Roman"/>
                <w:b/>
                <w:szCs w:val="21"/>
              </w:rPr>
              <w:t>授权代表人</w:t>
            </w:r>
          </w:p>
        </w:tc>
        <w:tc>
          <w:tcPr>
            <w:tcW w:w="6482" w:type="dxa"/>
            <w:gridSpan w:val="3"/>
            <w:vAlign w:val="center"/>
          </w:tcPr>
          <w:p w:rsidR="006D55A3" w:rsidRPr="00F938AB" w:rsidRDefault="006D55A3" w:rsidP="00176A59">
            <w:pPr>
              <w:widowControl/>
              <w:spacing w:beforeLines="10" w:before="31" w:afterLines="10" w:after="31"/>
              <w:rPr>
                <w:rFonts w:ascii="Times New Roman" w:hAnsi="Times New Roman"/>
                <w:kern w:val="0"/>
                <w:szCs w:val="21"/>
              </w:rPr>
            </w:pPr>
            <w:proofErr w:type="gramStart"/>
            <w:r w:rsidRPr="00F938AB">
              <w:rPr>
                <w:rFonts w:ascii="Times New Roman" w:hAnsi="Times New Roman"/>
                <w:kern w:val="0"/>
                <w:szCs w:val="21"/>
              </w:rPr>
              <w:t>孙鸿达</w:t>
            </w:r>
            <w:proofErr w:type="gramEnd"/>
          </w:p>
        </w:tc>
      </w:tr>
      <w:tr w:rsidR="006D55A3" w:rsidRPr="00F938AB" w:rsidTr="00176A59">
        <w:trPr>
          <w:trHeight w:val="778"/>
          <w:tblHeader/>
          <w:jc w:val="center"/>
        </w:trPr>
        <w:tc>
          <w:tcPr>
            <w:tcW w:w="2141" w:type="dxa"/>
            <w:vAlign w:val="center"/>
          </w:tcPr>
          <w:p w:rsidR="006D55A3" w:rsidRPr="00F938AB" w:rsidRDefault="006D55A3" w:rsidP="00176A59">
            <w:pPr>
              <w:spacing w:beforeLines="10" w:before="31" w:afterLines="10" w:after="31"/>
              <w:rPr>
                <w:rFonts w:ascii="Times New Roman" w:hAnsi="Times New Roman"/>
                <w:b/>
                <w:szCs w:val="21"/>
              </w:rPr>
            </w:pPr>
            <w:r w:rsidRPr="00F938AB">
              <w:rPr>
                <w:rFonts w:ascii="Times New Roman" w:hAnsi="Times New Roman"/>
                <w:b/>
                <w:szCs w:val="21"/>
              </w:rPr>
              <w:t>主营业务</w:t>
            </w:r>
          </w:p>
        </w:tc>
        <w:tc>
          <w:tcPr>
            <w:tcW w:w="6482" w:type="dxa"/>
            <w:gridSpan w:val="3"/>
            <w:vAlign w:val="center"/>
          </w:tcPr>
          <w:p w:rsidR="006D55A3" w:rsidRPr="00F938AB" w:rsidRDefault="006D55A3" w:rsidP="00176A59">
            <w:pPr>
              <w:spacing w:beforeLines="10" w:before="31" w:afterLines="10" w:after="31"/>
              <w:rPr>
                <w:rFonts w:ascii="Times New Roman" w:hAnsi="Times New Roman"/>
                <w:szCs w:val="21"/>
              </w:rPr>
            </w:pPr>
            <w:r w:rsidRPr="00F938AB">
              <w:rPr>
                <w:rFonts w:ascii="Times New Roman" w:hAnsi="Times New Roman"/>
                <w:color w:val="000000"/>
                <w:kern w:val="0"/>
              </w:rPr>
              <w:t>在瑞士和全球进行加工和未加工的石材的进出口贸易；可以参股其他公司，在国内外成立子公司和分支机构，收购和出售不动产，以及从事其他在法律允许范围内，能实现公司目标的业务，为</w:t>
            </w:r>
            <w:r w:rsidRPr="00F938AB">
              <w:rPr>
                <w:rFonts w:ascii="Times New Roman" w:hAnsi="Times New Roman"/>
                <w:color w:val="000000"/>
                <w:kern w:val="0"/>
              </w:rPr>
              <w:t>FINSTONE</w:t>
            </w:r>
            <w:r w:rsidRPr="00F938AB">
              <w:rPr>
                <w:rFonts w:ascii="Times New Roman" w:hAnsi="Times New Roman"/>
                <w:color w:val="000000"/>
                <w:kern w:val="0"/>
              </w:rPr>
              <w:t>集团旗下公司提供支持，尤其是为整个集团在全球进行石材采购；有权制定有利于股东、集团公司或者第三方的融资、资本重组和担保措施，以及贷款给股东、集团公司或者第三方和为其安全性提供保证。</w:t>
            </w:r>
          </w:p>
        </w:tc>
      </w:tr>
      <w:tr w:rsidR="006D55A3" w:rsidRPr="00F938AB" w:rsidTr="00176A59">
        <w:trPr>
          <w:trHeight w:val="185"/>
          <w:tblHeader/>
          <w:jc w:val="center"/>
        </w:trPr>
        <w:tc>
          <w:tcPr>
            <w:tcW w:w="2141" w:type="dxa"/>
            <w:vMerge w:val="restart"/>
            <w:vAlign w:val="center"/>
          </w:tcPr>
          <w:p w:rsidR="006D55A3" w:rsidRPr="00F938AB" w:rsidRDefault="006D55A3" w:rsidP="00176A59">
            <w:pPr>
              <w:spacing w:beforeLines="10" w:before="31" w:afterLines="10" w:after="31"/>
              <w:ind w:right="210"/>
              <w:rPr>
                <w:rFonts w:ascii="Times New Roman" w:hAnsi="Times New Roman"/>
                <w:b/>
                <w:szCs w:val="21"/>
              </w:rPr>
            </w:pPr>
            <w:r w:rsidRPr="00F938AB">
              <w:rPr>
                <w:rFonts w:ascii="Times New Roman" w:hAnsi="Times New Roman"/>
                <w:b/>
                <w:szCs w:val="21"/>
              </w:rPr>
              <w:t>股东情况</w:t>
            </w:r>
          </w:p>
        </w:tc>
        <w:tc>
          <w:tcPr>
            <w:tcW w:w="3827" w:type="dxa"/>
            <w:vAlign w:val="center"/>
          </w:tcPr>
          <w:p w:rsidR="006D55A3" w:rsidRPr="00F938AB" w:rsidRDefault="006D55A3" w:rsidP="00176A59">
            <w:pPr>
              <w:spacing w:beforeLines="10" w:before="31" w:afterLines="10" w:after="31"/>
              <w:jc w:val="center"/>
              <w:rPr>
                <w:rFonts w:ascii="Times New Roman" w:hAnsi="Times New Roman"/>
                <w:szCs w:val="21"/>
              </w:rPr>
            </w:pPr>
            <w:r w:rsidRPr="00F938AB">
              <w:rPr>
                <w:rFonts w:ascii="Times New Roman" w:hAnsi="Times New Roman"/>
                <w:szCs w:val="21"/>
              </w:rPr>
              <w:t>股东</w:t>
            </w:r>
          </w:p>
        </w:tc>
        <w:tc>
          <w:tcPr>
            <w:tcW w:w="1559" w:type="dxa"/>
            <w:vAlign w:val="center"/>
          </w:tcPr>
          <w:p w:rsidR="006D55A3" w:rsidRPr="00F938AB" w:rsidRDefault="006D55A3" w:rsidP="00176A59">
            <w:pPr>
              <w:spacing w:beforeLines="10" w:before="31" w:afterLines="10" w:after="31"/>
              <w:jc w:val="center"/>
              <w:rPr>
                <w:rFonts w:ascii="Times New Roman" w:hAnsi="Times New Roman"/>
                <w:szCs w:val="21"/>
              </w:rPr>
            </w:pPr>
            <w:r w:rsidRPr="00F938AB">
              <w:rPr>
                <w:rFonts w:ascii="Times New Roman" w:hAnsi="Times New Roman"/>
                <w:szCs w:val="21"/>
              </w:rPr>
              <w:t>持股数</w:t>
            </w:r>
          </w:p>
        </w:tc>
        <w:tc>
          <w:tcPr>
            <w:tcW w:w="1096" w:type="dxa"/>
            <w:vAlign w:val="center"/>
          </w:tcPr>
          <w:p w:rsidR="006D55A3" w:rsidRPr="00F938AB" w:rsidRDefault="006D55A3" w:rsidP="00176A59">
            <w:pPr>
              <w:spacing w:beforeLines="10" w:before="31" w:afterLines="10" w:after="31"/>
              <w:jc w:val="center"/>
              <w:rPr>
                <w:rFonts w:ascii="Times New Roman" w:hAnsi="Times New Roman"/>
                <w:szCs w:val="21"/>
              </w:rPr>
            </w:pPr>
            <w:r w:rsidRPr="00F938AB">
              <w:rPr>
                <w:rFonts w:ascii="Times New Roman" w:hAnsi="Times New Roman"/>
                <w:szCs w:val="21"/>
              </w:rPr>
              <w:t>比例</w:t>
            </w:r>
          </w:p>
        </w:tc>
      </w:tr>
      <w:tr w:rsidR="006D55A3" w:rsidRPr="00F938AB" w:rsidTr="00176A59">
        <w:trPr>
          <w:trHeight w:val="185"/>
          <w:tblHeader/>
          <w:jc w:val="center"/>
        </w:trPr>
        <w:tc>
          <w:tcPr>
            <w:tcW w:w="2141" w:type="dxa"/>
            <w:vMerge/>
            <w:vAlign w:val="center"/>
          </w:tcPr>
          <w:p w:rsidR="006D55A3" w:rsidRPr="00F938AB" w:rsidRDefault="006D55A3" w:rsidP="00176A59">
            <w:pPr>
              <w:spacing w:beforeLines="10" w:before="31" w:afterLines="10" w:after="31"/>
              <w:ind w:right="210"/>
              <w:rPr>
                <w:rFonts w:ascii="Times New Roman" w:hAnsi="Times New Roman"/>
                <w:b/>
                <w:szCs w:val="21"/>
              </w:rPr>
            </w:pPr>
          </w:p>
        </w:tc>
        <w:tc>
          <w:tcPr>
            <w:tcW w:w="3827" w:type="dxa"/>
            <w:vAlign w:val="center"/>
          </w:tcPr>
          <w:p w:rsidR="006D55A3" w:rsidRPr="00F938AB" w:rsidRDefault="006D55A3" w:rsidP="00176A59">
            <w:pPr>
              <w:spacing w:beforeLines="10" w:before="31" w:afterLines="10" w:after="31"/>
              <w:rPr>
                <w:rFonts w:ascii="Times New Roman" w:hAnsi="Times New Roman"/>
                <w:szCs w:val="21"/>
              </w:rPr>
            </w:pPr>
            <w:proofErr w:type="spellStart"/>
            <w:r w:rsidRPr="00F938AB">
              <w:rPr>
                <w:rFonts w:ascii="Times New Roman" w:hAnsi="Times New Roman"/>
                <w:szCs w:val="21"/>
              </w:rPr>
              <w:t>Eclat</w:t>
            </w:r>
            <w:proofErr w:type="spellEnd"/>
            <w:r w:rsidRPr="00F938AB">
              <w:rPr>
                <w:rFonts w:ascii="Times New Roman" w:hAnsi="Times New Roman"/>
                <w:szCs w:val="21"/>
              </w:rPr>
              <w:t xml:space="preserve"> Investments S.A</w:t>
            </w:r>
          </w:p>
        </w:tc>
        <w:tc>
          <w:tcPr>
            <w:tcW w:w="1559"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 xml:space="preserve">431,632 </w:t>
            </w:r>
            <w:r w:rsidRPr="00F938AB">
              <w:rPr>
                <w:rFonts w:ascii="Times New Roman" w:hAnsi="Times New Roman"/>
                <w:szCs w:val="21"/>
              </w:rPr>
              <w:t>股</w:t>
            </w:r>
          </w:p>
        </w:tc>
        <w:tc>
          <w:tcPr>
            <w:tcW w:w="1096"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82.25%</w:t>
            </w:r>
          </w:p>
        </w:tc>
      </w:tr>
      <w:tr w:rsidR="006D55A3" w:rsidRPr="00F938AB" w:rsidTr="00176A59">
        <w:trPr>
          <w:trHeight w:val="375"/>
          <w:tblHeader/>
          <w:jc w:val="center"/>
        </w:trPr>
        <w:tc>
          <w:tcPr>
            <w:tcW w:w="2141" w:type="dxa"/>
            <w:vMerge/>
            <w:vAlign w:val="center"/>
          </w:tcPr>
          <w:p w:rsidR="006D55A3" w:rsidRPr="00F938AB" w:rsidRDefault="006D55A3" w:rsidP="00176A59">
            <w:pPr>
              <w:spacing w:beforeLines="10" w:before="31" w:afterLines="10" w:after="31"/>
              <w:ind w:right="210"/>
              <w:rPr>
                <w:rFonts w:ascii="Times New Roman" w:hAnsi="Times New Roman"/>
                <w:b/>
                <w:szCs w:val="21"/>
              </w:rPr>
            </w:pPr>
          </w:p>
        </w:tc>
        <w:tc>
          <w:tcPr>
            <w:tcW w:w="3827" w:type="dxa"/>
            <w:vAlign w:val="center"/>
          </w:tcPr>
          <w:p w:rsidR="006D55A3" w:rsidRPr="00F938AB" w:rsidRDefault="006D55A3" w:rsidP="00176A59">
            <w:pPr>
              <w:spacing w:beforeLines="10" w:before="31" w:afterLines="10" w:after="31"/>
              <w:rPr>
                <w:rFonts w:ascii="Times New Roman" w:hAnsi="Times New Roman"/>
                <w:szCs w:val="21"/>
              </w:rPr>
            </w:pPr>
            <w:proofErr w:type="spellStart"/>
            <w:r w:rsidRPr="00F938AB">
              <w:rPr>
                <w:rFonts w:ascii="Times New Roman" w:hAnsi="Times New Roman"/>
                <w:szCs w:val="21"/>
              </w:rPr>
              <w:t>Duemilaquattro</w:t>
            </w:r>
            <w:proofErr w:type="spellEnd"/>
            <w:r w:rsidRPr="00F938AB">
              <w:rPr>
                <w:rFonts w:ascii="Times New Roman" w:hAnsi="Times New Roman"/>
                <w:szCs w:val="21"/>
              </w:rPr>
              <w:t xml:space="preserve"> </w:t>
            </w:r>
            <w:proofErr w:type="spellStart"/>
            <w:r w:rsidRPr="00F938AB">
              <w:rPr>
                <w:rFonts w:ascii="Times New Roman" w:hAnsi="Times New Roman"/>
                <w:szCs w:val="21"/>
              </w:rPr>
              <w:t>S.r.l</w:t>
            </w:r>
            <w:proofErr w:type="spellEnd"/>
          </w:p>
        </w:tc>
        <w:tc>
          <w:tcPr>
            <w:tcW w:w="1559"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 xml:space="preserve">53,954 </w:t>
            </w:r>
            <w:r w:rsidRPr="00F938AB">
              <w:rPr>
                <w:rFonts w:ascii="Times New Roman" w:hAnsi="Times New Roman"/>
                <w:szCs w:val="21"/>
              </w:rPr>
              <w:t>股</w:t>
            </w:r>
          </w:p>
        </w:tc>
        <w:tc>
          <w:tcPr>
            <w:tcW w:w="1096"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10.28%</w:t>
            </w:r>
          </w:p>
        </w:tc>
      </w:tr>
      <w:tr w:rsidR="006D55A3" w:rsidRPr="00F938AB" w:rsidTr="00176A59">
        <w:trPr>
          <w:trHeight w:val="267"/>
          <w:tblHeader/>
          <w:jc w:val="center"/>
        </w:trPr>
        <w:tc>
          <w:tcPr>
            <w:tcW w:w="2141" w:type="dxa"/>
            <w:vMerge/>
            <w:vAlign w:val="center"/>
          </w:tcPr>
          <w:p w:rsidR="006D55A3" w:rsidRPr="00F938AB" w:rsidRDefault="006D55A3" w:rsidP="00176A59">
            <w:pPr>
              <w:spacing w:beforeLines="10" w:before="31" w:afterLines="10" w:after="31"/>
              <w:ind w:right="210"/>
              <w:rPr>
                <w:rFonts w:ascii="Times New Roman" w:hAnsi="Times New Roman"/>
                <w:b/>
                <w:szCs w:val="21"/>
              </w:rPr>
            </w:pPr>
          </w:p>
        </w:tc>
        <w:tc>
          <w:tcPr>
            <w:tcW w:w="3827" w:type="dxa"/>
            <w:vAlign w:val="center"/>
          </w:tcPr>
          <w:p w:rsidR="006D55A3" w:rsidRPr="00F938AB" w:rsidRDefault="006D55A3" w:rsidP="00176A59">
            <w:pPr>
              <w:spacing w:beforeLines="10" w:before="31" w:afterLines="10" w:after="31"/>
              <w:rPr>
                <w:rFonts w:ascii="Times New Roman" w:hAnsi="Times New Roman"/>
                <w:szCs w:val="21"/>
              </w:rPr>
            </w:pPr>
            <w:r w:rsidRPr="00F938AB">
              <w:rPr>
                <w:rFonts w:ascii="Times New Roman" w:hAnsi="Times New Roman"/>
                <w:szCs w:val="21"/>
              </w:rPr>
              <w:t>York Consulting-</w:t>
            </w:r>
            <w:proofErr w:type="spellStart"/>
            <w:r w:rsidRPr="00F938AB">
              <w:rPr>
                <w:rFonts w:ascii="Times New Roman" w:hAnsi="Times New Roman"/>
                <w:szCs w:val="21"/>
              </w:rPr>
              <w:t>Comércio</w:t>
            </w:r>
            <w:proofErr w:type="spellEnd"/>
            <w:r w:rsidRPr="00F938AB">
              <w:rPr>
                <w:rFonts w:ascii="Times New Roman" w:hAnsi="Times New Roman"/>
                <w:szCs w:val="21"/>
              </w:rPr>
              <w:t xml:space="preserve"> </w:t>
            </w:r>
            <w:proofErr w:type="spellStart"/>
            <w:r w:rsidRPr="00F938AB">
              <w:rPr>
                <w:rFonts w:ascii="Times New Roman" w:hAnsi="Times New Roman"/>
                <w:szCs w:val="21"/>
              </w:rPr>
              <w:t>Internacional</w:t>
            </w:r>
            <w:proofErr w:type="spellEnd"/>
            <w:r w:rsidRPr="00F938AB">
              <w:rPr>
                <w:rFonts w:ascii="Times New Roman" w:hAnsi="Times New Roman"/>
                <w:szCs w:val="21"/>
              </w:rPr>
              <w:t xml:space="preserve"> e </w:t>
            </w:r>
            <w:proofErr w:type="spellStart"/>
            <w:r w:rsidRPr="00F938AB">
              <w:rPr>
                <w:rFonts w:ascii="Times New Roman" w:hAnsi="Times New Roman"/>
                <w:szCs w:val="21"/>
              </w:rPr>
              <w:t>Servicos</w:t>
            </w:r>
            <w:proofErr w:type="spellEnd"/>
          </w:p>
        </w:tc>
        <w:tc>
          <w:tcPr>
            <w:tcW w:w="1559"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 xml:space="preserve">28,397 </w:t>
            </w:r>
            <w:r w:rsidRPr="00F938AB">
              <w:rPr>
                <w:rFonts w:ascii="Times New Roman" w:hAnsi="Times New Roman"/>
                <w:szCs w:val="21"/>
              </w:rPr>
              <w:t>股</w:t>
            </w:r>
          </w:p>
        </w:tc>
        <w:tc>
          <w:tcPr>
            <w:tcW w:w="1096"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5.41%</w:t>
            </w:r>
          </w:p>
        </w:tc>
      </w:tr>
      <w:tr w:rsidR="006D55A3" w:rsidRPr="00F938AB" w:rsidTr="00176A59">
        <w:trPr>
          <w:trHeight w:val="315"/>
          <w:tblHeader/>
          <w:jc w:val="center"/>
        </w:trPr>
        <w:tc>
          <w:tcPr>
            <w:tcW w:w="2141" w:type="dxa"/>
            <w:vMerge/>
            <w:vAlign w:val="center"/>
          </w:tcPr>
          <w:p w:rsidR="006D55A3" w:rsidRPr="00F938AB" w:rsidRDefault="006D55A3" w:rsidP="00176A59">
            <w:pPr>
              <w:spacing w:beforeLines="10" w:before="31" w:afterLines="10" w:after="31"/>
              <w:ind w:right="210"/>
              <w:rPr>
                <w:rFonts w:ascii="Times New Roman" w:hAnsi="Times New Roman"/>
                <w:b/>
                <w:szCs w:val="21"/>
              </w:rPr>
            </w:pPr>
          </w:p>
        </w:tc>
        <w:tc>
          <w:tcPr>
            <w:tcW w:w="3827" w:type="dxa"/>
            <w:vAlign w:val="center"/>
          </w:tcPr>
          <w:p w:rsidR="006D55A3" w:rsidRPr="00F938AB" w:rsidRDefault="006D55A3" w:rsidP="00176A59">
            <w:pPr>
              <w:spacing w:beforeLines="10" w:before="31" w:afterLines="10" w:after="31"/>
              <w:rPr>
                <w:rFonts w:ascii="Times New Roman" w:hAnsi="Times New Roman"/>
                <w:szCs w:val="21"/>
              </w:rPr>
            </w:pPr>
            <w:r w:rsidRPr="00F938AB">
              <w:rPr>
                <w:rFonts w:ascii="Times New Roman" w:hAnsi="Times New Roman"/>
                <w:szCs w:val="21"/>
              </w:rPr>
              <w:t>库存股</w:t>
            </w:r>
          </w:p>
        </w:tc>
        <w:tc>
          <w:tcPr>
            <w:tcW w:w="1559"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 xml:space="preserve">10,791 </w:t>
            </w:r>
            <w:r w:rsidRPr="00F938AB">
              <w:rPr>
                <w:rFonts w:ascii="Times New Roman" w:hAnsi="Times New Roman"/>
                <w:szCs w:val="21"/>
              </w:rPr>
              <w:t>股</w:t>
            </w:r>
          </w:p>
        </w:tc>
        <w:tc>
          <w:tcPr>
            <w:tcW w:w="1096" w:type="dxa"/>
            <w:vAlign w:val="center"/>
          </w:tcPr>
          <w:p w:rsidR="006D55A3" w:rsidRPr="00F938AB" w:rsidRDefault="006D55A3" w:rsidP="00176A59">
            <w:pPr>
              <w:spacing w:beforeLines="10" w:before="31" w:afterLines="10" w:after="31"/>
              <w:jc w:val="right"/>
              <w:rPr>
                <w:rFonts w:ascii="Times New Roman" w:hAnsi="Times New Roman"/>
                <w:szCs w:val="21"/>
              </w:rPr>
            </w:pPr>
            <w:r w:rsidRPr="00F938AB">
              <w:rPr>
                <w:rFonts w:ascii="Times New Roman" w:hAnsi="Times New Roman"/>
                <w:szCs w:val="21"/>
              </w:rPr>
              <w:t>2.06%</w:t>
            </w:r>
          </w:p>
        </w:tc>
      </w:tr>
      <w:tr w:rsidR="006D55A3" w:rsidRPr="00F938AB" w:rsidTr="00176A59">
        <w:trPr>
          <w:trHeight w:val="363"/>
          <w:tblHeader/>
          <w:jc w:val="center"/>
        </w:trPr>
        <w:tc>
          <w:tcPr>
            <w:tcW w:w="2141" w:type="dxa"/>
            <w:vMerge/>
            <w:vAlign w:val="center"/>
          </w:tcPr>
          <w:p w:rsidR="006D55A3" w:rsidRPr="00F938AB" w:rsidRDefault="006D55A3" w:rsidP="00176A59">
            <w:pPr>
              <w:spacing w:beforeLines="10" w:before="31" w:afterLines="10" w:after="31"/>
              <w:ind w:right="210"/>
              <w:rPr>
                <w:rFonts w:ascii="Times New Roman" w:hAnsi="Times New Roman"/>
                <w:b/>
                <w:szCs w:val="21"/>
              </w:rPr>
            </w:pPr>
          </w:p>
        </w:tc>
        <w:tc>
          <w:tcPr>
            <w:tcW w:w="3827" w:type="dxa"/>
            <w:vAlign w:val="center"/>
          </w:tcPr>
          <w:p w:rsidR="006D55A3" w:rsidRPr="00F938AB" w:rsidRDefault="006D55A3" w:rsidP="00176A59">
            <w:pPr>
              <w:spacing w:beforeLines="10" w:before="31" w:afterLines="10" w:after="31"/>
              <w:jc w:val="center"/>
              <w:rPr>
                <w:rFonts w:ascii="Times New Roman" w:hAnsi="Times New Roman"/>
                <w:b/>
                <w:bCs/>
                <w:szCs w:val="21"/>
              </w:rPr>
            </w:pPr>
            <w:r w:rsidRPr="00F938AB">
              <w:rPr>
                <w:rFonts w:ascii="Times New Roman" w:hAnsi="Times New Roman"/>
                <w:b/>
                <w:bCs/>
                <w:szCs w:val="21"/>
              </w:rPr>
              <w:t>合计</w:t>
            </w:r>
          </w:p>
        </w:tc>
        <w:tc>
          <w:tcPr>
            <w:tcW w:w="1559" w:type="dxa"/>
            <w:vAlign w:val="center"/>
          </w:tcPr>
          <w:p w:rsidR="006D55A3" w:rsidRPr="00F938AB" w:rsidRDefault="006D55A3" w:rsidP="00176A59">
            <w:pPr>
              <w:spacing w:beforeLines="10" w:before="31" w:afterLines="10" w:after="31"/>
              <w:jc w:val="right"/>
              <w:rPr>
                <w:rFonts w:ascii="Times New Roman" w:hAnsi="Times New Roman"/>
                <w:b/>
                <w:bCs/>
                <w:szCs w:val="21"/>
              </w:rPr>
            </w:pPr>
            <w:r w:rsidRPr="00F938AB">
              <w:rPr>
                <w:rFonts w:ascii="Times New Roman" w:hAnsi="Times New Roman"/>
                <w:b/>
                <w:bCs/>
                <w:kern w:val="0"/>
                <w:szCs w:val="21"/>
              </w:rPr>
              <w:t xml:space="preserve">524,774 </w:t>
            </w:r>
            <w:r w:rsidRPr="00F938AB">
              <w:rPr>
                <w:rFonts w:ascii="Times New Roman" w:hAnsi="Times New Roman"/>
                <w:b/>
                <w:bCs/>
                <w:kern w:val="0"/>
                <w:szCs w:val="21"/>
              </w:rPr>
              <w:t>股</w:t>
            </w:r>
          </w:p>
        </w:tc>
        <w:tc>
          <w:tcPr>
            <w:tcW w:w="1096" w:type="dxa"/>
            <w:vAlign w:val="center"/>
          </w:tcPr>
          <w:p w:rsidR="006D55A3" w:rsidRPr="00F938AB" w:rsidRDefault="006D55A3" w:rsidP="00176A59">
            <w:pPr>
              <w:spacing w:beforeLines="10" w:before="31" w:afterLines="10" w:after="31"/>
              <w:jc w:val="right"/>
              <w:rPr>
                <w:rFonts w:ascii="Times New Roman" w:hAnsi="Times New Roman"/>
                <w:b/>
                <w:bCs/>
                <w:szCs w:val="21"/>
              </w:rPr>
            </w:pPr>
            <w:r w:rsidRPr="00F938AB">
              <w:rPr>
                <w:rFonts w:ascii="Times New Roman" w:hAnsi="Times New Roman"/>
                <w:b/>
                <w:bCs/>
                <w:szCs w:val="21"/>
              </w:rPr>
              <w:t>100.00%</w:t>
            </w:r>
          </w:p>
        </w:tc>
      </w:tr>
    </w:tbl>
    <w:p w:rsidR="0067616D" w:rsidRPr="00D70E82" w:rsidRDefault="0067616D" w:rsidP="00DB2F7C">
      <w:pPr>
        <w:spacing w:beforeLines="50" w:before="156" w:afterLines="50" w:after="156" w:line="360" w:lineRule="auto"/>
        <w:ind w:firstLine="482"/>
        <w:jc w:val="left"/>
        <w:rPr>
          <w:rFonts w:ascii="Times New Roman" w:hAnsi="Times New Roman"/>
          <w:b/>
          <w:color w:val="000000"/>
          <w:kern w:val="0"/>
          <w:sz w:val="24"/>
        </w:rPr>
      </w:pPr>
      <w:r w:rsidRPr="00D70E82">
        <w:rPr>
          <w:rFonts w:ascii="Times New Roman" w:hAnsi="Times New Roman" w:hint="eastAsia"/>
          <w:b/>
          <w:color w:val="000000"/>
          <w:kern w:val="0"/>
          <w:sz w:val="24"/>
        </w:rPr>
        <w:t>（二）受让方基本情况</w:t>
      </w:r>
    </w:p>
    <w:p w:rsidR="0067616D" w:rsidRPr="00D70E82" w:rsidRDefault="0069424E" w:rsidP="00DB2F7C">
      <w:pPr>
        <w:spacing w:beforeLines="50" w:before="156" w:afterLines="50" w:after="156" w:line="360" w:lineRule="auto"/>
        <w:ind w:firstLine="482"/>
        <w:jc w:val="left"/>
        <w:rPr>
          <w:rFonts w:ascii="Times New Roman" w:hAnsi="Times New Roman"/>
          <w:b/>
          <w:color w:val="000000"/>
          <w:kern w:val="0"/>
          <w:sz w:val="24"/>
        </w:rPr>
      </w:pPr>
      <w:r>
        <w:rPr>
          <w:rFonts w:ascii="Times New Roman" w:hAnsi="Times New Roman" w:hint="eastAsia"/>
          <w:b/>
          <w:color w:val="000000"/>
          <w:kern w:val="0"/>
          <w:sz w:val="24"/>
        </w:rPr>
        <w:t>1</w:t>
      </w:r>
      <w:r>
        <w:rPr>
          <w:rFonts w:ascii="Times New Roman" w:hAnsi="Times New Roman" w:hint="eastAsia"/>
          <w:b/>
          <w:color w:val="000000"/>
          <w:kern w:val="0"/>
          <w:sz w:val="24"/>
        </w:rPr>
        <w:t>、</w:t>
      </w:r>
      <w:r w:rsidR="0067616D" w:rsidRPr="00D70E82">
        <w:rPr>
          <w:rFonts w:ascii="Times New Roman" w:hAnsi="Times New Roman" w:hint="eastAsia"/>
          <w:b/>
          <w:color w:val="000000"/>
          <w:kern w:val="0"/>
          <w:sz w:val="24"/>
        </w:rPr>
        <w:t>受让方一</w:t>
      </w:r>
    </w:p>
    <w:tbl>
      <w:tblPr>
        <w:tblW w:w="8623"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2141"/>
        <w:gridCol w:w="3827"/>
        <w:gridCol w:w="1559"/>
        <w:gridCol w:w="1096"/>
      </w:tblGrid>
      <w:tr w:rsidR="0069424E" w:rsidRPr="004C11D6" w:rsidTr="00176A59">
        <w:trPr>
          <w:trHeight w:val="340"/>
          <w:tblHeader/>
          <w:jc w:val="center"/>
        </w:trPr>
        <w:tc>
          <w:tcPr>
            <w:tcW w:w="2141" w:type="dxa"/>
            <w:vAlign w:val="center"/>
          </w:tcPr>
          <w:p w:rsidR="0069424E" w:rsidRPr="004C11D6" w:rsidRDefault="0069424E" w:rsidP="00176A59">
            <w:pPr>
              <w:jc w:val="left"/>
              <w:rPr>
                <w:rFonts w:ascii="Times New Roman" w:hAnsi="Times New Roman"/>
                <w:b/>
                <w:szCs w:val="21"/>
              </w:rPr>
            </w:pPr>
            <w:r w:rsidRPr="004C11D6">
              <w:rPr>
                <w:rFonts w:ascii="Times New Roman" w:hAnsi="Times New Roman"/>
                <w:b/>
                <w:szCs w:val="21"/>
              </w:rPr>
              <w:t>公司名称</w:t>
            </w:r>
          </w:p>
        </w:tc>
        <w:tc>
          <w:tcPr>
            <w:tcW w:w="6482" w:type="dxa"/>
            <w:gridSpan w:val="3"/>
            <w:vAlign w:val="center"/>
          </w:tcPr>
          <w:p w:rsidR="0069424E" w:rsidRPr="004C11D6" w:rsidRDefault="0069424E" w:rsidP="00176A59">
            <w:pPr>
              <w:jc w:val="left"/>
              <w:rPr>
                <w:rFonts w:ascii="Times New Roman" w:hAnsi="Times New Roman"/>
                <w:szCs w:val="21"/>
              </w:rPr>
            </w:pPr>
            <w:r w:rsidRPr="004C11D6">
              <w:rPr>
                <w:rFonts w:ascii="Times New Roman" w:hAnsi="Times New Roman"/>
                <w:szCs w:val="21"/>
              </w:rPr>
              <w:t>金麟四海有限公司</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rPr>
                <w:rFonts w:ascii="Times New Roman" w:hAnsi="Times New Roman"/>
                <w:b/>
                <w:szCs w:val="21"/>
              </w:rPr>
            </w:pPr>
            <w:r w:rsidRPr="004C11D6">
              <w:rPr>
                <w:rFonts w:ascii="Times New Roman" w:hAnsi="Times New Roman"/>
                <w:b/>
                <w:szCs w:val="21"/>
              </w:rPr>
              <w:t>注册地址</w:t>
            </w:r>
          </w:p>
        </w:tc>
        <w:tc>
          <w:tcPr>
            <w:tcW w:w="6482" w:type="dxa"/>
            <w:gridSpan w:val="3"/>
            <w:vAlign w:val="center"/>
          </w:tcPr>
          <w:p w:rsidR="0069424E" w:rsidRPr="004C11D6" w:rsidRDefault="0069424E" w:rsidP="00176A59">
            <w:pPr>
              <w:jc w:val="left"/>
              <w:rPr>
                <w:rFonts w:ascii="Times New Roman" w:hAnsi="Times New Roman"/>
                <w:szCs w:val="21"/>
              </w:rPr>
            </w:pPr>
            <w:r w:rsidRPr="004C11D6">
              <w:rPr>
                <w:rFonts w:ascii="Times New Roman" w:hAnsi="Times New Roman"/>
                <w:szCs w:val="21"/>
              </w:rPr>
              <w:t>北京市海淀区北四环西路</w:t>
            </w:r>
            <w:r w:rsidRPr="004C11D6">
              <w:rPr>
                <w:rFonts w:ascii="Times New Roman" w:hAnsi="Times New Roman"/>
                <w:szCs w:val="21"/>
              </w:rPr>
              <w:t>67</w:t>
            </w:r>
            <w:r w:rsidRPr="004C11D6">
              <w:rPr>
                <w:rFonts w:ascii="Times New Roman" w:hAnsi="Times New Roman"/>
                <w:szCs w:val="21"/>
              </w:rPr>
              <w:t>号</w:t>
            </w:r>
            <w:r w:rsidRPr="004C11D6">
              <w:rPr>
                <w:rFonts w:ascii="Times New Roman" w:hAnsi="Times New Roman"/>
                <w:szCs w:val="21"/>
              </w:rPr>
              <w:t>2</w:t>
            </w:r>
            <w:r w:rsidRPr="004C11D6">
              <w:rPr>
                <w:rFonts w:ascii="Times New Roman" w:hAnsi="Times New Roman"/>
                <w:szCs w:val="21"/>
              </w:rPr>
              <w:t>层</w:t>
            </w:r>
            <w:r w:rsidRPr="004C11D6">
              <w:rPr>
                <w:rFonts w:ascii="Times New Roman" w:hAnsi="Times New Roman"/>
                <w:szCs w:val="21"/>
              </w:rPr>
              <w:t>208</w:t>
            </w:r>
            <w:r w:rsidRPr="004C11D6">
              <w:rPr>
                <w:rFonts w:ascii="Times New Roman" w:hAnsi="Times New Roman"/>
                <w:szCs w:val="21"/>
              </w:rPr>
              <w:t>室</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rPr>
                <w:rFonts w:ascii="Times New Roman" w:hAnsi="Times New Roman"/>
                <w:b/>
                <w:szCs w:val="21"/>
              </w:rPr>
            </w:pPr>
            <w:r w:rsidRPr="004C11D6">
              <w:rPr>
                <w:rFonts w:ascii="Times New Roman" w:hAnsi="Times New Roman"/>
                <w:b/>
                <w:szCs w:val="21"/>
              </w:rPr>
              <w:t>通讯地址</w:t>
            </w:r>
          </w:p>
        </w:tc>
        <w:tc>
          <w:tcPr>
            <w:tcW w:w="6482" w:type="dxa"/>
            <w:gridSpan w:val="3"/>
            <w:vAlign w:val="center"/>
          </w:tcPr>
          <w:p w:rsidR="0069424E" w:rsidRPr="004C11D6" w:rsidRDefault="0069424E" w:rsidP="00176A59">
            <w:pPr>
              <w:jc w:val="left"/>
              <w:rPr>
                <w:rFonts w:ascii="Times New Roman" w:hAnsi="Times New Roman"/>
                <w:szCs w:val="21"/>
              </w:rPr>
            </w:pPr>
            <w:r w:rsidRPr="004C11D6">
              <w:rPr>
                <w:rFonts w:ascii="Times New Roman" w:hAnsi="Times New Roman"/>
                <w:szCs w:val="21"/>
              </w:rPr>
              <w:t>北京市海淀区北四环西路</w:t>
            </w:r>
            <w:r w:rsidRPr="004C11D6">
              <w:rPr>
                <w:rFonts w:ascii="Times New Roman" w:hAnsi="Times New Roman"/>
                <w:szCs w:val="21"/>
              </w:rPr>
              <w:t>67</w:t>
            </w:r>
            <w:r w:rsidRPr="004C11D6">
              <w:rPr>
                <w:rFonts w:ascii="Times New Roman" w:hAnsi="Times New Roman"/>
                <w:szCs w:val="21"/>
              </w:rPr>
              <w:t>号</w:t>
            </w:r>
            <w:r w:rsidRPr="004C11D6">
              <w:rPr>
                <w:rFonts w:ascii="Times New Roman" w:hAnsi="Times New Roman"/>
                <w:szCs w:val="21"/>
              </w:rPr>
              <w:t>2</w:t>
            </w:r>
            <w:r w:rsidRPr="004C11D6">
              <w:rPr>
                <w:rFonts w:ascii="Times New Roman" w:hAnsi="Times New Roman"/>
                <w:szCs w:val="21"/>
              </w:rPr>
              <w:t>层</w:t>
            </w:r>
            <w:r w:rsidRPr="004C11D6">
              <w:rPr>
                <w:rFonts w:ascii="Times New Roman" w:hAnsi="Times New Roman"/>
                <w:szCs w:val="21"/>
              </w:rPr>
              <w:t>208</w:t>
            </w:r>
            <w:r w:rsidRPr="004C11D6">
              <w:rPr>
                <w:rFonts w:ascii="Times New Roman" w:hAnsi="Times New Roman"/>
                <w:szCs w:val="21"/>
              </w:rPr>
              <w:t>室</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rPr>
                <w:rFonts w:ascii="Times New Roman" w:hAnsi="Times New Roman"/>
                <w:b/>
                <w:szCs w:val="21"/>
              </w:rPr>
            </w:pPr>
            <w:r w:rsidRPr="004C11D6">
              <w:rPr>
                <w:rFonts w:ascii="Times New Roman" w:hAnsi="Times New Roman"/>
                <w:b/>
                <w:szCs w:val="21"/>
              </w:rPr>
              <w:t>统一信用代码</w:t>
            </w:r>
          </w:p>
        </w:tc>
        <w:tc>
          <w:tcPr>
            <w:tcW w:w="6482" w:type="dxa"/>
            <w:gridSpan w:val="3"/>
            <w:vAlign w:val="center"/>
          </w:tcPr>
          <w:p w:rsidR="0069424E" w:rsidRPr="004C11D6" w:rsidRDefault="0069424E" w:rsidP="00176A59">
            <w:pPr>
              <w:jc w:val="left"/>
              <w:rPr>
                <w:rFonts w:ascii="Times New Roman" w:hAnsi="Times New Roman"/>
                <w:szCs w:val="21"/>
              </w:rPr>
            </w:pPr>
            <w:r w:rsidRPr="004C11D6">
              <w:rPr>
                <w:rFonts w:ascii="Times New Roman" w:hAnsi="Times New Roman"/>
                <w:szCs w:val="21"/>
              </w:rPr>
              <w:t>91110108MA01C95Q26</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rPr>
                <w:rFonts w:ascii="Times New Roman" w:hAnsi="Times New Roman"/>
                <w:b/>
                <w:szCs w:val="21"/>
              </w:rPr>
            </w:pPr>
            <w:r w:rsidRPr="004C11D6">
              <w:rPr>
                <w:rFonts w:ascii="Times New Roman" w:hAnsi="Times New Roman"/>
                <w:b/>
                <w:szCs w:val="21"/>
              </w:rPr>
              <w:t>注册资本</w:t>
            </w:r>
          </w:p>
        </w:tc>
        <w:tc>
          <w:tcPr>
            <w:tcW w:w="6482" w:type="dxa"/>
            <w:gridSpan w:val="3"/>
            <w:vAlign w:val="center"/>
          </w:tcPr>
          <w:p w:rsidR="0069424E" w:rsidRPr="004C11D6" w:rsidRDefault="0069424E" w:rsidP="00176A59">
            <w:pPr>
              <w:widowControl/>
              <w:spacing w:beforeLines="10" w:before="31" w:afterLines="10" w:after="31"/>
              <w:rPr>
                <w:rFonts w:ascii="Times New Roman" w:hAnsi="Times New Roman"/>
                <w:kern w:val="0"/>
                <w:szCs w:val="21"/>
              </w:rPr>
            </w:pPr>
            <w:r w:rsidRPr="004C11D6">
              <w:rPr>
                <w:rFonts w:ascii="Times New Roman" w:hAnsi="Times New Roman"/>
                <w:kern w:val="0"/>
                <w:szCs w:val="21"/>
              </w:rPr>
              <w:t>10000</w:t>
            </w:r>
            <w:r w:rsidRPr="004C11D6">
              <w:rPr>
                <w:rFonts w:ascii="Times New Roman" w:hAnsi="Times New Roman"/>
                <w:kern w:val="0"/>
                <w:szCs w:val="21"/>
              </w:rPr>
              <w:t>万元</w:t>
            </w:r>
          </w:p>
        </w:tc>
      </w:tr>
      <w:tr w:rsidR="0069424E" w:rsidRPr="004C11D6" w:rsidTr="00176A59">
        <w:trPr>
          <w:trHeight w:val="778"/>
          <w:tblHeader/>
          <w:jc w:val="center"/>
        </w:trPr>
        <w:tc>
          <w:tcPr>
            <w:tcW w:w="2141" w:type="dxa"/>
            <w:vAlign w:val="center"/>
          </w:tcPr>
          <w:p w:rsidR="0069424E" w:rsidRPr="004C11D6" w:rsidRDefault="0069424E" w:rsidP="00176A59">
            <w:pPr>
              <w:spacing w:beforeLines="10" w:before="31" w:afterLines="10" w:after="31"/>
              <w:rPr>
                <w:rFonts w:ascii="Times New Roman" w:hAnsi="Times New Roman"/>
                <w:b/>
                <w:szCs w:val="21"/>
              </w:rPr>
            </w:pPr>
            <w:r w:rsidRPr="004C11D6">
              <w:rPr>
                <w:rFonts w:ascii="Times New Roman" w:hAnsi="Times New Roman"/>
                <w:b/>
                <w:szCs w:val="21"/>
              </w:rPr>
              <w:t>经营范围</w:t>
            </w:r>
          </w:p>
        </w:tc>
        <w:tc>
          <w:tcPr>
            <w:tcW w:w="6482" w:type="dxa"/>
            <w:gridSpan w:val="3"/>
            <w:vAlign w:val="center"/>
          </w:tcPr>
          <w:p w:rsidR="0069424E" w:rsidRPr="004C11D6" w:rsidRDefault="0069424E" w:rsidP="00176A59">
            <w:pPr>
              <w:spacing w:beforeLines="10" w:before="31" w:afterLines="10" w:after="31"/>
              <w:rPr>
                <w:rFonts w:ascii="Times New Roman" w:hAnsi="Times New Roman"/>
                <w:szCs w:val="21"/>
              </w:rPr>
            </w:pPr>
            <w:r w:rsidRPr="004C11D6">
              <w:rPr>
                <w:rFonts w:ascii="Times New Roman" w:hAnsi="Times New Roman"/>
                <w:szCs w:val="21"/>
              </w:rPr>
              <w:t>销售汽车、汽车零配件、计算机、软件及辅助设备、电子产品、建筑材料（不从事实体店铺经营）；技术开发、技术推广、技术咨询、技术服务、技术转让；计算机系统服务；基础软件服务；应用软件服务；软件开发；产品设计；经济贸易咨询；公共关系服务；电脑动画设计；数据处理（数据处理中的银行卡中心、</w:t>
            </w:r>
            <w:r w:rsidRPr="004C11D6">
              <w:rPr>
                <w:rFonts w:ascii="Times New Roman" w:hAnsi="Times New Roman"/>
                <w:szCs w:val="21"/>
              </w:rPr>
              <w:t>PUE</w:t>
            </w:r>
            <w:r w:rsidRPr="004C11D6">
              <w:rPr>
                <w:rFonts w:ascii="Times New Roman" w:hAnsi="Times New Roman"/>
                <w:szCs w:val="21"/>
              </w:rPr>
              <w:t>值在</w:t>
            </w:r>
            <w:r w:rsidRPr="004C11D6">
              <w:rPr>
                <w:rFonts w:ascii="Times New Roman" w:hAnsi="Times New Roman"/>
                <w:szCs w:val="21"/>
              </w:rPr>
              <w:t>1.5</w:t>
            </w:r>
            <w:r w:rsidRPr="004C11D6">
              <w:rPr>
                <w:rFonts w:ascii="Times New Roman" w:hAnsi="Times New Roman"/>
                <w:szCs w:val="21"/>
              </w:rPr>
              <w:t>以上的</w:t>
            </w:r>
            <w:proofErr w:type="gramStart"/>
            <w:r w:rsidRPr="004C11D6">
              <w:rPr>
                <w:rFonts w:ascii="Times New Roman" w:hAnsi="Times New Roman"/>
                <w:szCs w:val="21"/>
              </w:rPr>
              <w:t>云计算</w:t>
            </w:r>
            <w:proofErr w:type="gramEnd"/>
            <w:r w:rsidRPr="004C11D6">
              <w:rPr>
                <w:rFonts w:ascii="Times New Roman" w:hAnsi="Times New Roman"/>
                <w:szCs w:val="21"/>
              </w:rPr>
              <w:t>数据中心除外）；市场调查；企业管理咨询；承办展览展示活动；会议服务；翻译服务；物业管理；企业管理；城市园林绿化；机械设备租赁（不含汽车租赁）；技术进出口、代理进出口、货物进出口。（企业依法自主选择经营项目，开展经营活动；依法须经批准的项目，经相关部门批准后依批准的内容开展经营活动；不得从事本市产业政策禁止和限制类项目的经营活动）</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rPr>
                <w:rFonts w:ascii="Times New Roman" w:hAnsi="Times New Roman"/>
                <w:b/>
                <w:szCs w:val="21"/>
              </w:rPr>
            </w:pPr>
            <w:r w:rsidRPr="004C11D6">
              <w:rPr>
                <w:rFonts w:ascii="Times New Roman" w:hAnsi="Times New Roman"/>
                <w:b/>
                <w:szCs w:val="21"/>
              </w:rPr>
              <w:t>成立日期</w:t>
            </w:r>
          </w:p>
        </w:tc>
        <w:tc>
          <w:tcPr>
            <w:tcW w:w="6482" w:type="dxa"/>
            <w:gridSpan w:val="3"/>
            <w:vAlign w:val="center"/>
          </w:tcPr>
          <w:p w:rsidR="0069424E" w:rsidRPr="004C11D6" w:rsidRDefault="0069424E" w:rsidP="00176A59">
            <w:pPr>
              <w:spacing w:beforeLines="10" w:before="31" w:afterLines="10" w:after="31"/>
              <w:rPr>
                <w:rFonts w:ascii="Times New Roman" w:hAnsi="Times New Roman"/>
                <w:szCs w:val="21"/>
              </w:rPr>
            </w:pPr>
            <w:r w:rsidRPr="004C11D6">
              <w:rPr>
                <w:rFonts w:ascii="Times New Roman" w:hAnsi="Times New Roman"/>
                <w:szCs w:val="21"/>
              </w:rPr>
              <w:t>2018</w:t>
            </w:r>
            <w:r w:rsidRPr="004C11D6">
              <w:rPr>
                <w:rFonts w:ascii="Times New Roman" w:hAnsi="Times New Roman"/>
                <w:szCs w:val="21"/>
              </w:rPr>
              <w:t>年</w:t>
            </w:r>
            <w:r w:rsidRPr="004C11D6">
              <w:rPr>
                <w:rFonts w:ascii="Times New Roman" w:hAnsi="Times New Roman"/>
                <w:szCs w:val="21"/>
              </w:rPr>
              <w:t>5</w:t>
            </w:r>
            <w:r w:rsidRPr="004C11D6">
              <w:rPr>
                <w:rFonts w:ascii="Times New Roman" w:hAnsi="Times New Roman"/>
                <w:szCs w:val="21"/>
              </w:rPr>
              <w:t>月</w:t>
            </w:r>
            <w:r w:rsidRPr="004C11D6">
              <w:rPr>
                <w:rFonts w:ascii="Times New Roman" w:hAnsi="Times New Roman"/>
                <w:szCs w:val="21"/>
              </w:rPr>
              <w:t>18</w:t>
            </w:r>
            <w:r w:rsidRPr="004C11D6">
              <w:rPr>
                <w:rFonts w:ascii="Times New Roman" w:hAnsi="Times New Roman"/>
                <w:szCs w:val="21"/>
              </w:rPr>
              <w:t>日</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rPr>
                <w:rFonts w:ascii="Times New Roman" w:hAnsi="Times New Roman"/>
                <w:b/>
                <w:szCs w:val="21"/>
              </w:rPr>
            </w:pPr>
            <w:r w:rsidRPr="004C11D6">
              <w:rPr>
                <w:rFonts w:ascii="Times New Roman" w:hAnsi="Times New Roman"/>
                <w:b/>
                <w:szCs w:val="21"/>
              </w:rPr>
              <w:t>经营期限</w:t>
            </w:r>
          </w:p>
        </w:tc>
        <w:tc>
          <w:tcPr>
            <w:tcW w:w="6482" w:type="dxa"/>
            <w:gridSpan w:val="3"/>
            <w:vAlign w:val="center"/>
          </w:tcPr>
          <w:p w:rsidR="0069424E" w:rsidRPr="004C11D6" w:rsidRDefault="0069424E" w:rsidP="00176A59">
            <w:pPr>
              <w:spacing w:beforeLines="10" w:before="31" w:afterLines="10" w:after="31"/>
              <w:rPr>
                <w:rFonts w:ascii="Times New Roman" w:hAnsi="Times New Roman"/>
                <w:szCs w:val="21"/>
              </w:rPr>
            </w:pPr>
            <w:r w:rsidRPr="004C11D6">
              <w:rPr>
                <w:rFonts w:ascii="Times New Roman" w:hAnsi="Times New Roman"/>
                <w:szCs w:val="21"/>
              </w:rPr>
              <w:t>2018</w:t>
            </w:r>
            <w:r w:rsidRPr="004C11D6">
              <w:rPr>
                <w:rFonts w:ascii="Times New Roman" w:hAnsi="Times New Roman"/>
                <w:szCs w:val="21"/>
              </w:rPr>
              <w:t>年</w:t>
            </w:r>
            <w:r w:rsidRPr="004C11D6">
              <w:rPr>
                <w:rFonts w:ascii="Times New Roman" w:hAnsi="Times New Roman"/>
                <w:szCs w:val="21"/>
              </w:rPr>
              <w:t>5</w:t>
            </w:r>
            <w:r w:rsidRPr="004C11D6">
              <w:rPr>
                <w:rFonts w:ascii="Times New Roman" w:hAnsi="Times New Roman"/>
                <w:szCs w:val="21"/>
              </w:rPr>
              <w:t>月</w:t>
            </w:r>
            <w:r w:rsidRPr="004C11D6">
              <w:rPr>
                <w:rFonts w:ascii="Times New Roman" w:hAnsi="Times New Roman"/>
                <w:szCs w:val="21"/>
              </w:rPr>
              <w:t>18</w:t>
            </w:r>
            <w:r w:rsidRPr="004C11D6">
              <w:rPr>
                <w:rFonts w:ascii="Times New Roman" w:hAnsi="Times New Roman"/>
                <w:szCs w:val="21"/>
              </w:rPr>
              <w:t>日至长期</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ind w:right="210"/>
              <w:rPr>
                <w:rFonts w:ascii="Times New Roman" w:hAnsi="Times New Roman"/>
                <w:b/>
                <w:szCs w:val="21"/>
              </w:rPr>
            </w:pPr>
            <w:r w:rsidRPr="004C11D6">
              <w:rPr>
                <w:rFonts w:ascii="Times New Roman" w:hAnsi="Times New Roman"/>
                <w:b/>
                <w:szCs w:val="21"/>
              </w:rPr>
              <w:t>法定代表人</w:t>
            </w:r>
          </w:p>
        </w:tc>
        <w:tc>
          <w:tcPr>
            <w:tcW w:w="6482" w:type="dxa"/>
            <w:gridSpan w:val="3"/>
            <w:vAlign w:val="center"/>
          </w:tcPr>
          <w:p w:rsidR="0069424E" w:rsidRPr="004C11D6" w:rsidRDefault="0069424E" w:rsidP="00176A59">
            <w:pPr>
              <w:spacing w:beforeLines="10" w:before="31" w:afterLines="10" w:after="31"/>
              <w:rPr>
                <w:rFonts w:ascii="Times New Roman" w:hAnsi="Times New Roman"/>
                <w:szCs w:val="21"/>
              </w:rPr>
            </w:pPr>
            <w:r w:rsidRPr="004C11D6">
              <w:rPr>
                <w:rFonts w:ascii="Times New Roman" w:hAnsi="Times New Roman"/>
                <w:szCs w:val="21"/>
              </w:rPr>
              <w:t>王昭</w:t>
            </w:r>
          </w:p>
        </w:tc>
      </w:tr>
      <w:tr w:rsidR="0069424E" w:rsidRPr="004C11D6" w:rsidTr="00176A59">
        <w:trPr>
          <w:trHeight w:val="340"/>
          <w:tblHeader/>
          <w:jc w:val="center"/>
        </w:trPr>
        <w:tc>
          <w:tcPr>
            <w:tcW w:w="2141" w:type="dxa"/>
            <w:vAlign w:val="center"/>
          </w:tcPr>
          <w:p w:rsidR="0069424E" w:rsidRPr="004C11D6" w:rsidRDefault="0069424E" w:rsidP="00176A59">
            <w:pPr>
              <w:spacing w:beforeLines="10" w:before="31" w:afterLines="10" w:after="31"/>
              <w:ind w:right="210"/>
              <w:rPr>
                <w:rFonts w:ascii="Times New Roman" w:hAnsi="Times New Roman"/>
                <w:b/>
                <w:szCs w:val="21"/>
              </w:rPr>
            </w:pPr>
            <w:r w:rsidRPr="004C11D6">
              <w:rPr>
                <w:rFonts w:ascii="Times New Roman" w:hAnsi="Times New Roman"/>
                <w:b/>
                <w:szCs w:val="21"/>
              </w:rPr>
              <w:lastRenderedPageBreak/>
              <w:t>企业类型</w:t>
            </w:r>
          </w:p>
        </w:tc>
        <w:tc>
          <w:tcPr>
            <w:tcW w:w="6482" w:type="dxa"/>
            <w:gridSpan w:val="3"/>
            <w:vAlign w:val="center"/>
          </w:tcPr>
          <w:p w:rsidR="0069424E" w:rsidRPr="004C11D6" w:rsidRDefault="0069424E" w:rsidP="00176A59">
            <w:pPr>
              <w:spacing w:beforeLines="10" w:before="31" w:afterLines="10" w:after="31"/>
              <w:rPr>
                <w:rFonts w:ascii="Times New Roman" w:hAnsi="Times New Roman"/>
                <w:szCs w:val="21"/>
              </w:rPr>
            </w:pPr>
            <w:r w:rsidRPr="004C11D6">
              <w:rPr>
                <w:rFonts w:ascii="Times New Roman" w:hAnsi="Times New Roman"/>
                <w:szCs w:val="21"/>
              </w:rPr>
              <w:t>有限责任公司</w:t>
            </w:r>
          </w:p>
        </w:tc>
      </w:tr>
      <w:tr w:rsidR="0069424E" w:rsidRPr="004C11D6" w:rsidTr="00176A59">
        <w:trPr>
          <w:trHeight w:val="185"/>
          <w:tblHeader/>
          <w:jc w:val="center"/>
        </w:trPr>
        <w:tc>
          <w:tcPr>
            <w:tcW w:w="2141" w:type="dxa"/>
            <w:vMerge w:val="restart"/>
            <w:vAlign w:val="center"/>
          </w:tcPr>
          <w:p w:rsidR="0069424E" w:rsidRPr="004C11D6" w:rsidRDefault="0069424E" w:rsidP="00176A59">
            <w:pPr>
              <w:spacing w:beforeLines="10" w:before="31" w:afterLines="10" w:after="31"/>
              <w:ind w:right="210"/>
              <w:rPr>
                <w:rFonts w:ascii="Times New Roman" w:hAnsi="Times New Roman"/>
                <w:b/>
                <w:szCs w:val="21"/>
              </w:rPr>
            </w:pPr>
            <w:r w:rsidRPr="004C11D6">
              <w:rPr>
                <w:rFonts w:ascii="Times New Roman" w:hAnsi="Times New Roman"/>
                <w:b/>
                <w:szCs w:val="21"/>
              </w:rPr>
              <w:t>股东情况</w:t>
            </w:r>
          </w:p>
        </w:tc>
        <w:tc>
          <w:tcPr>
            <w:tcW w:w="3827" w:type="dxa"/>
            <w:vAlign w:val="center"/>
          </w:tcPr>
          <w:p w:rsidR="0069424E" w:rsidRPr="004C11D6" w:rsidRDefault="0069424E" w:rsidP="00176A59">
            <w:pPr>
              <w:spacing w:beforeLines="10" w:before="31" w:afterLines="10" w:after="31"/>
              <w:jc w:val="center"/>
              <w:rPr>
                <w:rFonts w:ascii="Times New Roman" w:hAnsi="Times New Roman"/>
                <w:szCs w:val="21"/>
              </w:rPr>
            </w:pPr>
            <w:r w:rsidRPr="004C11D6">
              <w:rPr>
                <w:rFonts w:ascii="Times New Roman" w:hAnsi="Times New Roman"/>
                <w:szCs w:val="21"/>
              </w:rPr>
              <w:t>股东</w:t>
            </w:r>
          </w:p>
        </w:tc>
        <w:tc>
          <w:tcPr>
            <w:tcW w:w="1559" w:type="dxa"/>
            <w:vAlign w:val="center"/>
          </w:tcPr>
          <w:p w:rsidR="0069424E" w:rsidRPr="004C11D6" w:rsidRDefault="0069424E" w:rsidP="00176A59">
            <w:pPr>
              <w:spacing w:beforeLines="10" w:before="31" w:afterLines="10" w:after="31"/>
              <w:jc w:val="center"/>
              <w:rPr>
                <w:rFonts w:ascii="Times New Roman" w:hAnsi="Times New Roman"/>
                <w:szCs w:val="21"/>
              </w:rPr>
            </w:pPr>
            <w:r w:rsidRPr="004C11D6">
              <w:rPr>
                <w:rFonts w:ascii="Times New Roman" w:hAnsi="Times New Roman"/>
                <w:szCs w:val="21"/>
              </w:rPr>
              <w:t>出资额</w:t>
            </w:r>
          </w:p>
        </w:tc>
        <w:tc>
          <w:tcPr>
            <w:tcW w:w="1096" w:type="dxa"/>
            <w:vAlign w:val="center"/>
          </w:tcPr>
          <w:p w:rsidR="0069424E" w:rsidRPr="004C11D6" w:rsidRDefault="0069424E" w:rsidP="00176A59">
            <w:pPr>
              <w:spacing w:beforeLines="10" w:before="31" w:afterLines="10" w:after="31"/>
              <w:jc w:val="center"/>
              <w:rPr>
                <w:rFonts w:ascii="Times New Roman" w:hAnsi="Times New Roman"/>
                <w:szCs w:val="21"/>
              </w:rPr>
            </w:pPr>
            <w:r w:rsidRPr="004C11D6">
              <w:rPr>
                <w:rFonts w:ascii="Times New Roman" w:hAnsi="Times New Roman"/>
                <w:szCs w:val="21"/>
              </w:rPr>
              <w:t>比例</w:t>
            </w:r>
          </w:p>
        </w:tc>
      </w:tr>
      <w:tr w:rsidR="0069424E" w:rsidRPr="004C11D6" w:rsidTr="00176A59">
        <w:trPr>
          <w:trHeight w:val="185"/>
          <w:tblHeader/>
          <w:jc w:val="center"/>
        </w:trPr>
        <w:tc>
          <w:tcPr>
            <w:tcW w:w="2141" w:type="dxa"/>
            <w:vMerge/>
            <w:vAlign w:val="center"/>
          </w:tcPr>
          <w:p w:rsidR="0069424E" w:rsidRPr="004C11D6" w:rsidRDefault="0069424E" w:rsidP="00176A59">
            <w:pPr>
              <w:spacing w:beforeLines="10" w:before="31" w:afterLines="10" w:after="31"/>
              <w:ind w:right="210"/>
              <w:rPr>
                <w:rFonts w:ascii="Times New Roman" w:hAnsi="Times New Roman"/>
                <w:b/>
                <w:szCs w:val="21"/>
              </w:rPr>
            </w:pPr>
          </w:p>
        </w:tc>
        <w:tc>
          <w:tcPr>
            <w:tcW w:w="3827" w:type="dxa"/>
            <w:vAlign w:val="center"/>
          </w:tcPr>
          <w:p w:rsidR="0069424E" w:rsidRPr="004C11D6" w:rsidRDefault="0069424E" w:rsidP="00176A59">
            <w:pPr>
              <w:spacing w:beforeLines="10" w:before="31" w:afterLines="10" w:after="31"/>
              <w:rPr>
                <w:rFonts w:ascii="Times New Roman" w:hAnsi="Times New Roman"/>
                <w:szCs w:val="21"/>
              </w:rPr>
            </w:pPr>
            <w:r w:rsidRPr="004C11D6">
              <w:rPr>
                <w:rFonts w:ascii="Times New Roman" w:hAnsi="Times New Roman"/>
                <w:szCs w:val="21"/>
              </w:rPr>
              <w:t>王昭</w:t>
            </w:r>
          </w:p>
        </w:tc>
        <w:tc>
          <w:tcPr>
            <w:tcW w:w="1559" w:type="dxa"/>
            <w:vAlign w:val="center"/>
          </w:tcPr>
          <w:p w:rsidR="0069424E" w:rsidRPr="004C11D6" w:rsidRDefault="0069424E" w:rsidP="00176A59">
            <w:pPr>
              <w:spacing w:beforeLines="10" w:before="31" w:afterLines="10" w:after="31"/>
              <w:jc w:val="right"/>
              <w:rPr>
                <w:rFonts w:ascii="Times New Roman" w:hAnsi="Times New Roman"/>
                <w:szCs w:val="21"/>
              </w:rPr>
            </w:pPr>
            <w:r w:rsidRPr="004C11D6">
              <w:rPr>
                <w:rFonts w:ascii="Times New Roman" w:hAnsi="Times New Roman"/>
                <w:szCs w:val="21"/>
              </w:rPr>
              <w:t>7500</w:t>
            </w:r>
            <w:r w:rsidRPr="004C11D6">
              <w:rPr>
                <w:rFonts w:ascii="Times New Roman" w:hAnsi="Times New Roman"/>
                <w:szCs w:val="21"/>
              </w:rPr>
              <w:t>万元</w:t>
            </w:r>
          </w:p>
        </w:tc>
        <w:tc>
          <w:tcPr>
            <w:tcW w:w="1096" w:type="dxa"/>
            <w:vAlign w:val="center"/>
          </w:tcPr>
          <w:p w:rsidR="0069424E" w:rsidRPr="004C11D6" w:rsidRDefault="0069424E" w:rsidP="00176A59">
            <w:pPr>
              <w:spacing w:beforeLines="10" w:before="31" w:afterLines="10" w:after="31"/>
              <w:jc w:val="right"/>
              <w:rPr>
                <w:rFonts w:ascii="Times New Roman" w:hAnsi="Times New Roman"/>
                <w:szCs w:val="21"/>
              </w:rPr>
            </w:pPr>
            <w:r w:rsidRPr="004C11D6">
              <w:rPr>
                <w:rFonts w:ascii="Times New Roman" w:hAnsi="Times New Roman"/>
                <w:szCs w:val="21"/>
              </w:rPr>
              <w:t>75.00%</w:t>
            </w:r>
          </w:p>
        </w:tc>
      </w:tr>
      <w:tr w:rsidR="0069424E" w:rsidRPr="004C11D6" w:rsidTr="00176A59">
        <w:trPr>
          <w:trHeight w:val="375"/>
          <w:tblHeader/>
          <w:jc w:val="center"/>
        </w:trPr>
        <w:tc>
          <w:tcPr>
            <w:tcW w:w="2141" w:type="dxa"/>
            <w:vMerge/>
            <w:vAlign w:val="center"/>
          </w:tcPr>
          <w:p w:rsidR="0069424E" w:rsidRPr="004C11D6" w:rsidRDefault="0069424E" w:rsidP="00176A59">
            <w:pPr>
              <w:spacing w:beforeLines="10" w:before="31" w:afterLines="10" w:after="31"/>
              <w:ind w:right="210"/>
              <w:rPr>
                <w:rFonts w:ascii="Times New Roman" w:hAnsi="Times New Roman"/>
                <w:b/>
                <w:szCs w:val="21"/>
              </w:rPr>
            </w:pPr>
          </w:p>
        </w:tc>
        <w:tc>
          <w:tcPr>
            <w:tcW w:w="3827" w:type="dxa"/>
            <w:vAlign w:val="center"/>
          </w:tcPr>
          <w:p w:rsidR="0069424E" w:rsidRPr="004C11D6" w:rsidRDefault="0069424E" w:rsidP="00176A59">
            <w:pPr>
              <w:spacing w:beforeLines="10" w:before="31" w:afterLines="10" w:after="31"/>
              <w:rPr>
                <w:rFonts w:ascii="Times New Roman" w:hAnsi="Times New Roman"/>
                <w:szCs w:val="21"/>
              </w:rPr>
            </w:pPr>
            <w:proofErr w:type="gramStart"/>
            <w:r w:rsidRPr="004C11D6">
              <w:rPr>
                <w:rFonts w:ascii="Times New Roman" w:hAnsi="Times New Roman"/>
                <w:szCs w:val="21"/>
              </w:rPr>
              <w:t>李少琦</w:t>
            </w:r>
            <w:proofErr w:type="gramEnd"/>
          </w:p>
        </w:tc>
        <w:tc>
          <w:tcPr>
            <w:tcW w:w="1559" w:type="dxa"/>
            <w:vAlign w:val="center"/>
          </w:tcPr>
          <w:p w:rsidR="0069424E" w:rsidRPr="004C11D6" w:rsidRDefault="0069424E" w:rsidP="00176A59">
            <w:pPr>
              <w:spacing w:beforeLines="10" w:before="31" w:afterLines="10" w:after="31"/>
              <w:jc w:val="right"/>
              <w:rPr>
                <w:rFonts w:ascii="Times New Roman" w:hAnsi="Times New Roman"/>
                <w:szCs w:val="21"/>
              </w:rPr>
            </w:pPr>
            <w:r w:rsidRPr="004C11D6">
              <w:rPr>
                <w:rFonts w:ascii="Times New Roman" w:hAnsi="Times New Roman"/>
                <w:szCs w:val="21"/>
              </w:rPr>
              <w:t>2500</w:t>
            </w:r>
            <w:r w:rsidRPr="004C11D6">
              <w:rPr>
                <w:rFonts w:ascii="Times New Roman" w:hAnsi="Times New Roman"/>
                <w:szCs w:val="21"/>
              </w:rPr>
              <w:t>万元</w:t>
            </w:r>
          </w:p>
        </w:tc>
        <w:tc>
          <w:tcPr>
            <w:tcW w:w="1096" w:type="dxa"/>
            <w:vAlign w:val="center"/>
          </w:tcPr>
          <w:p w:rsidR="0069424E" w:rsidRPr="004C11D6" w:rsidRDefault="0069424E" w:rsidP="00176A59">
            <w:pPr>
              <w:spacing w:beforeLines="10" w:before="31" w:afterLines="10" w:after="31"/>
              <w:jc w:val="right"/>
              <w:rPr>
                <w:rFonts w:ascii="Times New Roman" w:hAnsi="Times New Roman"/>
                <w:szCs w:val="21"/>
              </w:rPr>
            </w:pPr>
            <w:r w:rsidRPr="004C11D6">
              <w:rPr>
                <w:rFonts w:ascii="Times New Roman" w:hAnsi="Times New Roman"/>
                <w:szCs w:val="21"/>
              </w:rPr>
              <w:t>25.00%</w:t>
            </w:r>
          </w:p>
        </w:tc>
      </w:tr>
      <w:tr w:rsidR="0069424E" w:rsidRPr="004C11D6" w:rsidTr="00176A59">
        <w:trPr>
          <w:trHeight w:val="363"/>
          <w:tblHeader/>
          <w:jc w:val="center"/>
        </w:trPr>
        <w:tc>
          <w:tcPr>
            <w:tcW w:w="2141" w:type="dxa"/>
            <w:vMerge/>
            <w:vAlign w:val="center"/>
          </w:tcPr>
          <w:p w:rsidR="0069424E" w:rsidRPr="004C11D6" w:rsidRDefault="0069424E" w:rsidP="00176A59">
            <w:pPr>
              <w:spacing w:beforeLines="10" w:before="31" w:afterLines="10" w:after="31"/>
              <w:ind w:right="210"/>
              <w:rPr>
                <w:rFonts w:ascii="Times New Roman" w:hAnsi="Times New Roman"/>
                <w:b/>
                <w:szCs w:val="21"/>
              </w:rPr>
            </w:pPr>
          </w:p>
        </w:tc>
        <w:tc>
          <w:tcPr>
            <w:tcW w:w="3827" w:type="dxa"/>
            <w:vAlign w:val="center"/>
          </w:tcPr>
          <w:p w:rsidR="0069424E" w:rsidRPr="004C11D6" w:rsidRDefault="0069424E" w:rsidP="00176A59">
            <w:pPr>
              <w:spacing w:beforeLines="10" w:before="31" w:afterLines="10" w:after="31"/>
              <w:jc w:val="center"/>
              <w:rPr>
                <w:rFonts w:ascii="Times New Roman" w:hAnsi="Times New Roman"/>
                <w:b/>
                <w:bCs/>
                <w:szCs w:val="21"/>
              </w:rPr>
            </w:pPr>
            <w:r w:rsidRPr="004C11D6">
              <w:rPr>
                <w:rFonts w:ascii="Times New Roman" w:hAnsi="Times New Roman"/>
                <w:b/>
                <w:bCs/>
                <w:szCs w:val="21"/>
              </w:rPr>
              <w:t>合计</w:t>
            </w:r>
          </w:p>
        </w:tc>
        <w:tc>
          <w:tcPr>
            <w:tcW w:w="1559" w:type="dxa"/>
            <w:vAlign w:val="center"/>
          </w:tcPr>
          <w:p w:rsidR="0069424E" w:rsidRPr="004C11D6" w:rsidRDefault="0069424E" w:rsidP="00176A59">
            <w:pPr>
              <w:spacing w:beforeLines="10" w:before="31" w:afterLines="10" w:after="31"/>
              <w:jc w:val="right"/>
              <w:rPr>
                <w:rFonts w:ascii="Times New Roman" w:hAnsi="Times New Roman"/>
                <w:b/>
                <w:bCs/>
                <w:szCs w:val="21"/>
              </w:rPr>
            </w:pPr>
            <w:r w:rsidRPr="004C11D6">
              <w:rPr>
                <w:rFonts w:ascii="Times New Roman" w:hAnsi="Times New Roman"/>
                <w:b/>
                <w:bCs/>
                <w:szCs w:val="21"/>
              </w:rPr>
              <w:t>10000</w:t>
            </w:r>
            <w:r w:rsidRPr="004C11D6">
              <w:rPr>
                <w:rFonts w:ascii="Times New Roman" w:hAnsi="Times New Roman"/>
                <w:b/>
                <w:bCs/>
                <w:szCs w:val="21"/>
              </w:rPr>
              <w:t>万元</w:t>
            </w:r>
          </w:p>
        </w:tc>
        <w:tc>
          <w:tcPr>
            <w:tcW w:w="1096" w:type="dxa"/>
            <w:vAlign w:val="center"/>
          </w:tcPr>
          <w:p w:rsidR="0069424E" w:rsidRPr="004C11D6" w:rsidRDefault="0069424E" w:rsidP="00176A59">
            <w:pPr>
              <w:spacing w:beforeLines="10" w:before="31" w:afterLines="10" w:after="31"/>
              <w:jc w:val="right"/>
              <w:rPr>
                <w:rFonts w:ascii="Times New Roman" w:hAnsi="Times New Roman"/>
                <w:b/>
                <w:bCs/>
                <w:szCs w:val="21"/>
              </w:rPr>
            </w:pPr>
            <w:r w:rsidRPr="004C11D6">
              <w:rPr>
                <w:rFonts w:ascii="Times New Roman" w:hAnsi="Times New Roman"/>
                <w:b/>
                <w:bCs/>
                <w:szCs w:val="21"/>
              </w:rPr>
              <w:t>100.00%</w:t>
            </w:r>
          </w:p>
        </w:tc>
      </w:tr>
    </w:tbl>
    <w:p w:rsidR="0067616D" w:rsidRPr="00D70E82" w:rsidRDefault="00D85380" w:rsidP="00DB2F7C">
      <w:pPr>
        <w:spacing w:beforeLines="50" w:before="156" w:afterLines="50" w:after="156" w:line="360" w:lineRule="auto"/>
        <w:ind w:firstLine="482"/>
        <w:jc w:val="left"/>
        <w:rPr>
          <w:rFonts w:ascii="Times New Roman" w:hAnsi="Times New Roman"/>
          <w:b/>
          <w:color w:val="000000"/>
          <w:kern w:val="0"/>
          <w:sz w:val="24"/>
        </w:rPr>
      </w:pPr>
      <w:r>
        <w:rPr>
          <w:rFonts w:ascii="Times New Roman" w:hAnsi="Times New Roman" w:hint="eastAsia"/>
          <w:b/>
          <w:color w:val="000000"/>
          <w:kern w:val="0"/>
          <w:sz w:val="24"/>
        </w:rPr>
        <w:t>2</w:t>
      </w:r>
      <w:r>
        <w:rPr>
          <w:rFonts w:ascii="Times New Roman" w:hAnsi="Times New Roman" w:hint="eastAsia"/>
          <w:b/>
          <w:color w:val="000000"/>
          <w:kern w:val="0"/>
          <w:sz w:val="24"/>
        </w:rPr>
        <w:t>、</w:t>
      </w:r>
      <w:r w:rsidR="0067616D" w:rsidRPr="00D70E82">
        <w:rPr>
          <w:rFonts w:ascii="Times New Roman" w:hAnsi="Times New Roman" w:hint="eastAsia"/>
          <w:b/>
          <w:color w:val="000000"/>
          <w:kern w:val="0"/>
          <w:sz w:val="24"/>
        </w:rPr>
        <w:t>受让方</w:t>
      </w:r>
      <w:r w:rsidR="00C52C97" w:rsidRPr="00D70E82">
        <w:rPr>
          <w:rFonts w:ascii="Times New Roman" w:hAnsi="Times New Roman" w:hint="eastAsia"/>
          <w:b/>
          <w:color w:val="000000"/>
          <w:kern w:val="0"/>
          <w:sz w:val="24"/>
        </w:rPr>
        <w:t>二</w:t>
      </w:r>
    </w:p>
    <w:tbl>
      <w:tblPr>
        <w:tblW w:w="8623"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2141"/>
        <w:gridCol w:w="3827"/>
        <w:gridCol w:w="1559"/>
        <w:gridCol w:w="1096"/>
      </w:tblGrid>
      <w:tr w:rsidR="0001645E" w:rsidRPr="002B50D9" w:rsidTr="00A41514">
        <w:trPr>
          <w:trHeight w:val="340"/>
          <w:tblHeader/>
          <w:jc w:val="center"/>
        </w:trPr>
        <w:tc>
          <w:tcPr>
            <w:tcW w:w="2141" w:type="dxa"/>
            <w:vAlign w:val="center"/>
          </w:tcPr>
          <w:p w:rsidR="0001645E" w:rsidRPr="002B50D9" w:rsidRDefault="0001645E" w:rsidP="00A41514">
            <w:pPr>
              <w:jc w:val="left"/>
              <w:rPr>
                <w:rFonts w:ascii="Times New Roman" w:hAnsi="Times New Roman"/>
                <w:b/>
                <w:szCs w:val="21"/>
              </w:rPr>
            </w:pPr>
            <w:r w:rsidRPr="002B50D9">
              <w:rPr>
                <w:rFonts w:ascii="Times New Roman" w:hAnsi="Times New Roman"/>
                <w:b/>
                <w:szCs w:val="21"/>
              </w:rPr>
              <w:t>公司名称</w:t>
            </w:r>
          </w:p>
        </w:tc>
        <w:tc>
          <w:tcPr>
            <w:tcW w:w="6482" w:type="dxa"/>
            <w:gridSpan w:val="3"/>
            <w:vAlign w:val="center"/>
          </w:tcPr>
          <w:p w:rsidR="0001645E" w:rsidRPr="002B50D9" w:rsidRDefault="0001645E" w:rsidP="00A41514">
            <w:pPr>
              <w:jc w:val="left"/>
              <w:rPr>
                <w:rFonts w:ascii="Times New Roman" w:hAnsi="Times New Roman"/>
                <w:kern w:val="0"/>
                <w:szCs w:val="21"/>
              </w:rPr>
            </w:pPr>
            <w:r w:rsidRPr="002B50D9">
              <w:rPr>
                <w:rFonts w:ascii="Times New Roman" w:hAnsi="Times New Roman"/>
                <w:kern w:val="0"/>
                <w:szCs w:val="21"/>
              </w:rPr>
              <w:t>八大处科技集团有限公司</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rPr>
                <w:rFonts w:ascii="Times New Roman" w:hAnsi="Times New Roman"/>
                <w:b/>
                <w:szCs w:val="21"/>
              </w:rPr>
            </w:pPr>
            <w:r w:rsidRPr="002B50D9">
              <w:rPr>
                <w:rFonts w:ascii="Times New Roman" w:hAnsi="Times New Roman"/>
                <w:b/>
                <w:szCs w:val="21"/>
              </w:rPr>
              <w:t>注册地址</w:t>
            </w:r>
          </w:p>
        </w:tc>
        <w:tc>
          <w:tcPr>
            <w:tcW w:w="6482" w:type="dxa"/>
            <w:gridSpan w:val="3"/>
            <w:vAlign w:val="center"/>
          </w:tcPr>
          <w:p w:rsidR="0001645E" w:rsidRPr="002B50D9" w:rsidRDefault="0001645E" w:rsidP="00A41514">
            <w:pPr>
              <w:jc w:val="left"/>
              <w:rPr>
                <w:rFonts w:ascii="Times New Roman" w:hAnsi="Times New Roman"/>
                <w:kern w:val="0"/>
                <w:szCs w:val="21"/>
              </w:rPr>
            </w:pPr>
            <w:r w:rsidRPr="002B50D9">
              <w:rPr>
                <w:rFonts w:ascii="Times New Roman" w:hAnsi="Times New Roman"/>
                <w:kern w:val="0"/>
                <w:szCs w:val="21"/>
              </w:rPr>
              <w:t>北京市北京经济技术开发区荣华南路</w:t>
            </w:r>
            <w:r w:rsidRPr="002B50D9">
              <w:rPr>
                <w:rFonts w:ascii="Times New Roman" w:hAnsi="Times New Roman"/>
                <w:kern w:val="0"/>
                <w:szCs w:val="21"/>
              </w:rPr>
              <w:t>10</w:t>
            </w:r>
            <w:r w:rsidRPr="002B50D9">
              <w:rPr>
                <w:rFonts w:ascii="Times New Roman" w:hAnsi="Times New Roman"/>
                <w:kern w:val="0"/>
                <w:szCs w:val="21"/>
              </w:rPr>
              <w:t>号院</w:t>
            </w:r>
            <w:r w:rsidRPr="002B50D9">
              <w:rPr>
                <w:rFonts w:ascii="Times New Roman" w:hAnsi="Times New Roman"/>
                <w:kern w:val="0"/>
                <w:szCs w:val="21"/>
              </w:rPr>
              <w:t>4</w:t>
            </w:r>
            <w:r w:rsidRPr="002B50D9">
              <w:rPr>
                <w:rFonts w:ascii="Times New Roman" w:hAnsi="Times New Roman"/>
                <w:kern w:val="0"/>
                <w:szCs w:val="21"/>
              </w:rPr>
              <w:t>号楼</w:t>
            </w:r>
            <w:r w:rsidRPr="002B50D9">
              <w:rPr>
                <w:rFonts w:ascii="Times New Roman" w:hAnsi="Times New Roman"/>
                <w:kern w:val="0"/>
                <w:szCs w:val="21"/>
              </w:rPr>
              <w:t>105</w:t>
            </w:r>
            <w:r w:rsidRPr="002B50D9">
              <w:rPr>
                <w:rFonts w:ascii="Times New Roman" w:hAnsi="Times New Roman"/>
                <w:kern w:val="0"/>
                <w:szCs w:val="21"/>
              </w:rPr>
              <w:t>室</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rPr>
                <w:rFonts w:ascii="Times New Roman" w:hAnsi="Times New Roman"/>
                <w:b/>
                <w:szCs w:val="21"/>
              </w:rPr>
            </w:pPr>
            <w:r w:rsidRPr="002B50D9">
              <w:rPr>
                <w:rFonts w:ascii="Times New Roman" w:hAnsi="Times New Roman"/>
                <w:b/>
                <w:szCs w:val="21"/>
              </w:rPr>
              <w:t>通讯地址</w:t>
            </w:r>
          </w:p>
        </w:tc>
        <w:tc>
          <w:tcPr>
            <w:tcW w:w="6482" w:type="dxa"/>
            <w:gridSpan w:val="3"/>
            <w:vAlign w:val="center"/>
          </w:tcPr>
          <w:p w:rsidR="0001645E" w:rsidRPr="002B50D9" w:rsidRDefault="0001645E" w:rsidP="00A41514">
            <w:pPr>
              <w:jc w:val="left"/>
              <w:rPr>
                <w:rFonts w:ascii="Times New Roman" w:hAnsi="Times New Roman"/>
                <w:kern w:val="0"/>
                <w:szCs w:val="21"/>
              </w:rPr>
            </w:pPr>
            <w:r w:rsidRPr="002B50D9">
              <w:rPr>
                <w:rFonts w:ascii="Times New Roman" w:hAnsi="Times New Roman"/>
                <w:kern w:val="0"/>
                <w:szCs w:val="21"/>
              </w:rPr>
              <w:t>北京市北京经济技术开发区荣华南路</w:t>
            </w:r>
            <w:r w:rsidRPr="002B50D9">
              <w:rPr>
                <w:rFonts w:ascii="Times New Roman" w:hAnsi="Times New Roman"/>
                <w:kern w:val="0"/>
                <w:szCs w:val="21"/>
              </w:rPr>
              <w:t>10</w:t>
            </w:r>
            <w:r w:rsidRPr="002B50D9">
              <w:rPr>
                <w:rFonts w:ascii="Times New Roman" w:hAnsi="Times New Roman"/>
                <w:kern w:val="0"/>
                <w:szCs w:val="21"/>
              </w:rPr>
              <w:t>号院</w:t>
            </w:r>
            <w:r w:rsidRPr="002B50D9">
              <w:rPr>
                <w:rFonts w:ascii="Times New Roman" w:hAnsi="Times New Roman"/>
                <w:kern w:val="0"/>
                <w:szCs w:val="21"/>
              </w:rPr>
              <w:t>4</w:t>
            </w:r>
            <w:r w:rsidRPr="002B50D9">
              <w:rPr>
                <w:rFonts w:ascii="Times New Roman" w:hAnsi="Times New Roman"/>
                <w:kern w:val="0"/>
                <w:szCs w:val="21"/>
              </w:rPr>
              <w:t>号楼</w:t>
            </w:r>
            <w:r w:rsidRPr="002B50D9">
              <w:rPr>
                <w:rFonts w:ascii="Times New Roman" w:hAnsi="Times New Roman"/>
                <w:kern w:val="0"/>
                <w:szCs w:val="21"/>
              </w:rPr>
              <w:t>105</w:t>
            </w:r>
            <w:r w:rsidRPr="002B50D9">
              <w:rPr>
                <w:rFonts w:ascii="Times New Roman" w:hAnsi="Times New Roman"/>
                <w:kern w:val="0"/>
                <w:szCs w:val="21"/>
              </w:rPr>
              <w:t>室</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rPr>
                <w:rFonts w:ascii="Times New Roman" w:hAnsi="Times New Roman"/>
                <w:b/>
                <w:szCs w:val="21"/>
              </w:rPr>
            </w:pPr>
            <w:r w:rsidRPr="002B50D9">
              <w:rPr>
                <w:rFonts w:ascii="Times New Roman" w:hAnsi="Times New Roman"/>
                <w:b/>
                <w:szCs w:val="21"/>
              </w:rPr>
              <w:t>注册资本</w:t>
            </w:r>
          </w:p>
        </w:tc>
        <w:tc>
          <w:tcPr>
            <w:tcW w:w="6482" w:type="dxa"/>
            <w:gridSpan w:val="3"/>
            <w:vAlign w:val="center"/>
          </w:tcPr>
          <w:p w:rsidR="0001645E" w:rsidRPr="002B50D9" w:rsidRDefault="0001645E" w:rsidP="00A41514">
            <w:pPr>
              <w:jc w:val="left"/>
              <w:rPr>
                <w:rFonts w:ascii="Times New Roman" w:hAnsi="Times New Roman"/>
                <w:kern w:val="0"/>
                <w:szCs w:val="21"/>
              </w:rPr>
            </w:pPr>
            <w:r w:rsidRPr="002B50D9">
              <w:rPr>
                <w:rFonts w:ascii="Times New Roman" w:hAnsi="Times New Roman"/>
                <w:kern w:val="0"/>
                <w:szCs w:val="21"/>
              </w:rPr>
              <w:t>200,000</w:t>
            </w:r>
            <w:r w:rsidRPr="002B50D9">
              <w:rPr>
                <w:rFonts w:ascii="Times New Roman" w:hAnsi="Times New Roman"/>
                <w:kern w:val="0"/>
                <w:szCs w:val="21"/>
              </w:rPr>
              <w:t>万人民币</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rPr>
                <w:rFonts w:ascii="Times New Roman" w:hAnsi="Times New Roman"/>
                <w:b/>
                <w:szCs w:val="21"/>
              </w:rPr>
            </w:pPr>
            <w:r w:rsidRPr="002B50D9">
              <w:rPr>
                <w:rFonts w:ascii="Times New Roman" w:hAnsi="Times New Roman"/>
                <w:b/>
                <w:szCs w:val="21"/>
              </w:rPr>
              <w:t>统一信用代码</w:t>
            </w:r>
          </w:p>
        </w:tc>
        <w:tc>
          <w:tcPr>
            <w:tcW w:w="6482" w:type="dxa"/>
            <w:gridSpan w:val="3"/>
            <w:vAlign w:val="center"/>
          </w:tcPr>
          <w:p w:rsidR="0001645E" w:rsidRPr="002B50D9" w:rsidRDefault="0001645E" w:rsidP="00A41514">
            <w:pPr>
              <w:spacing w:line="360" w:lineRule="auto"/>
              <w:rPr>
                <w:rFonts w:ascii="Times New Roman" w:hAnsi="Times New Roman"/>
                <w:bCs/>
                <w:szCs w:val="21"/>
              </w:rPr>
            </w:pPr>
            <w:r w:rsidRPr="002B50D9">
              <w:rPr>
                <w:rFonts w:ascii="Times New Roman" w:hAnsi="Times New Roman"/>
                <w:bCs/>
                <w:szCs w:val="21"/>
              </w:rPr>
              <w:t>911101126774030718</w:t>
            </w:r>
          </w:p>
        </w:tc>
      </w:tr>
      <w:tr w:rsidR="0001645E" w:rsidRPr="002B50D9" w:rsidTr="00A41514">
        <w:trPr>
          <w:trHeight w:val="778"/>
          <w:tblHeader/>
          <w:jc w:val="center"/>
        </w:trPr>
        <w:tc>
          <w:tcPr>
            <w:tcW w:w="2141" w:type="dxa"/>
            <w:vAlign w:val="center"/>
          </w:tcPr>
          <w:p w:rsidR="0001645E" w:rsidRPr="002B50D9" w:rsidRDefault="0001645E" w:rsidP="00A41514">
            <w:pPr>
              <w:spacing w:beforeLines="10" w:before="31" w:afterLines="10" w:after="31"/>
              <w:rPr>
                <w:rFonts w:ascii="Times New Roman" w:hAnsi="Times New Roman"/>
                <w:b/>
                <w:szCs w:val="21"/>
              </w:rPr>
            </w:pPr>
            <w:r w:rsidRPr="002B50D9">
              <w:rPr>
                <w:rFonts w:ascii="Times New Roman" w:hAnsi="Times New Roman"/>
                <w:b/>
                <w:szCs w:val="21"/>
              </w:rPr>
              <w:t>经营范围</w:t>
            </w:r>
          </w:p>
        </w:tc>
        <w:tc>
          <w:tcPr>
            <w:tcW w:w="6482" w:type="dxa"/>
            <w:gridSpan w:val="3"/>
            <w:vAlign w:val="center"/>
          </w:tcPr>
          <w:p w:rsidR="0001645E" w:rsidRPr="002B50D9" w:rsidRDefault="0001645E" w:rsidP="00A41514">
            <w:pPr>
              <w:spacing w:beforeLines="10" w:before="31" w:afterLines="10" w:after="31"/>
              <w:rPr>
                <w:rFonts w:ascii="Times New Roman" w:hAnsi="Times New Roman"/>
                <w:szCs w:val="21"/>
              </w:rPr>
            </w:pPr>
            <w:r w:rsidRPr="002B50D9">
              <w:rPr>
                <w:rFonts w:ascii="Times New Roman" w:hAnsi="Times New Roman"/>
                <w:szCs w:val="21"/>
              </w:rPr>
              <w:t>涂料技术推广；销售建筑材料、水性涂料、保温材料、防水材料、化工产品（不含危险化学品）；货物进出口、技术进出口、代理进出口。（企业依法自主选择经营项目，开展经营活动；依法须经批准的项目，经相关部门批准后依批准的内容开展经营活动；不得从事本区产业政策禁止和限制类项目的经营活动。）</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rPr>
                <w:rFonts w:ascii="Times New Roman" w:hAnsi="Times New Roman"/>
                <w:b/>
                <w:szCs w:val="21"/>
              </w:rPr>
            </w:pPr>
            <w:r w:rsidRPr="002B50D9">
              <w:rPr>
                <w:rFonts w:ascii="Times New Roman" w:hAnsi="Times New Roman"/>
                <w:b/>
                <w:szCs w:val="21"/>
              </w:rPr>
              <w:t>成立日期</w:t>
            </w:r>
          </w:p>
        </w:tc>
        <w:tc>
          <w:tcPr>
            <w:tcW w:w="6482" w:type="dxa"/>
            <w:gridSpan w:val="3"/>
            <w:vAlign w:val="center"/>
          </w:tcPr>
          <w:p w:rsidR="0001645E" w:rsidRPr="002B50D9" w:rsidRDefault="0001645E" w:rsidP="00A41514">
            <w:pPr>
              <w:spacing w:beforeLines="10" w:before="31" w:afterLines="10" w:after="31"/>
              <w:rPr>
                <w:rFonts w:ascii="Times New Roman" w:hAnsi="Times New Roman"/>
                <w:szCs w:val="21"/>
              </w:rPr>
            </w:pPr>
            <w:r w:rsidRPr="002B50D9">
              <w:rPr>
                <w:rFonts w:ascii="Times New Roman" w:hAnsi="Times New Roman"/>
                <w:szCs w:val="21"/>
              </w:rPr>
              <w:t>2008</w:t>
            </w:r>
            <w:r w:rsidRPr="002B50D9">
              <w:rPr>
                <w:rFonts w:ascii="Times New Roman" w:hAnsi="Times New Roman"/>
                <w:szCs w:val="21"/>
              </w:rPr>
              <w:t>年</w:t>
            </w:r>
            <w:r w:rsidRPr="002B50D9">
              <w:rPr>
                <w:rFonts w:ascii="Times New Roman" w:hAnsi="Times New Roman"/>
                <w:szCs w:val="21"/>
              </w:rPr>
              <w:t>7</w:t>
            </w:r>
            <w:r w:rsidRPr="002B50D9">
              <w:rPr>
                <w:rFonts w:ascii="Times New Roman" w:hAnsi="Times New Roman"/>
                <w:szCs w:val="21"/>
              </w:rPr>
              <w:t>月</w:t>
            </w:r>
            <w:r w:rsidRPr="002B50D9">
              <w:rPr>
                <w:rFonts w:ascii="Times New Roman" w:hAnsi="Times New Roman"/>
                <w:szCs w:val="21"/>
              </w:rPr>
              <w:t>7</w:t>
            </w:r>
            <w:r w:rsidRPr="002B50D9">
              <w:rPr>
                <w:rFonts w:ascii="Times New Roman" w:hAnsi="Times New Roman"/>
                <w:szCs w:val="21"/>
              </w:rPr>
              <w:t>日</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rPr>
                <w:rFonts w:ascii="Times New Roman" w:hAnsi="Times New Roman"/>
                <w:b/>
                <w:szCs w:val="21"/>
              </w:rPr>
            </w:pPr>
            <w:r w:rsidRPr="002B50D9">
              <w:rPr>
                <w:rFonts w:ascii="Times New Roman" w:hAnsi="Times New Roman"/>
                <w:b/>
                <w:szCs w:val="21"/>
              </w:rPr>
              <w:t>经营期限</w:t>
            </w:r>
          </w:p>
        </w:tc>
        <w:tc>
          <w:tcPr>
            <w:tcW w:w="6482" w:type="dxa"/>
            <w:gridSpan w:val="3"/>
            <w:vAlign w:val="center"/>
          </w:tcPr>
          <w:p w:rsidR="0001645E" w:rsidRPr="002B50D9" w:rsidRDefault="0001645E" w:rsidP="00A41514">
            <w:pPr>
              <w:spacing w:beforeLines="10" w:before="31" w:afterLines="10" w:after="31"/>
              <w:rPr>
                <w:rFonts w:ascii="Times New Roman" w:hAnsi="Times New Roman"/>
                <w:szCs w:val="21"/>
              </w:rPr>
            </w:pPr>
            <w:r w:rsidRPr="002B50D9">
              <w:rPr>
                <w:rFonts w:ascii="Times New Roman" w:hAnsi="Times New Roman"/>
                <w:szCs w:val="21"/>
              </w:rPr>
              <w:t>2008</w:t>
            </w:r>
            <w:r w:rsidRPr="002B50D9">
              <w:rPr>
                <w:rFonts w:ascii="Times New Roman" w:hAnsi="Times New Roman"/>
                <w:szCs w:val="21"/>
              </w:rPr>
              <w:t>年</w:t>
            </w:r>
            <w:r w:rsidRPr="002B50D9">
              <w:rPr>
                <w:rFonts w:ascii="Times New Roman" w:hAnsi="Times New Roman"/>
                <w:szCs w:val="21"/>
              </w:rPr>
              <w:t>7</w:t>
            </w:r>
            <w:r w:rsidRPr="002B50D9">
              <w:rPr>
                <w:rFonts w:ascii="Times New Roman" w:hAnsi="Times New Roman"/>
                <w:szCs w:val="21"/>
              </w:rPr>
              <w:t>月</w:t>
            </w:r>
            <w:r w:rsidRPr="002B50D9">
              <w:rPr>
                <w:rFonts w:ascii="Times New Roman" w:hAnsi="Times New Roman"/>
                <w:szCs w:val="21"/>
              </w:rPr>
              <w:t>7</w:t>
            </w:r>
            <w:r w:rsidRPr="002B50D9">
              <w:rPr>
                <w:rFonts w:ascii="Times New Roman" w:hAnsi="Times New Roman"/>
                <w:szCs w:val="21"/>
              </w:rPr>
              <w:t>日至</w:t>
            </w:r>
            <w:r w:rsidRPr="002B50D9">
              <w:rPr>
                <w:rFonts w:ascii="Times New Roman" w:hAnsi="Times New Roman"/>
                <w:szCs w:val="21"/>
              </w:rPr>
              <w:t>2038</w:t>
            </w:r>
            <w:r w:rsidRPr="002B50D9">
              <w:rPr>
                <w:rFonts w:ascii="Times New Roman" w:hAnsi="Times New Roman"/>
                <w:szCs w:val="21"/>
              </w:rPr>
              <w:t>年</w:t>
            </w:r>
            <w:r w:rsidRPr="002B50D9">
              <w:rPr>
                <w:rFonts w:ascii="Times New Roman" w:hAnsi="Times New Roman"/>
                <w:szCs w:val="21"/>
              </w:rPr>
              <w:t>7</w:t>
            </w:r>
            <w:r w:rsidRPr="002B50D9">
              <w:rPr>
                <w:rFonts w:ascii="Times New Roman" w:hAnsi="Times New Roman"/>
                <w:szCs w:val="21"/>
              </w:rPr>
              <w:t>月</w:t>
            </w:r>
            <w:r w:rsidRPr="002B50D9">
              <w:rPr>
                <w:rFonts w:ascii="Times New Roman" w:hAnsi="Times New Roman"/>
                <w:szCs w:val="21"/>
              </w:rPr>
              <w:t>6</w:t>
            </w:r>
            <w:r w:rsidRPr="002B50D9">
              <w:rPr>
                <w:rFonts w:ascii="Times New Roman" w:hAnsi="Times New Roman"/>
                <w:szCs w:val="21"/>
              </w:rPr>
              <w:t>日</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ind w:right="210"/>
              <w:rPr>
                <w:rFonts w:ascii="Times New Roman" w:hAnsi="Times New Roman"/>
                <w:b/>
                <w:szCs w:val="21"/>
              </w:rPr>
            </w:pPr>
            <w:r w:rsidRPr="002B50D9">
              <w:rPr>
                <w:rFonts w:ascii="Times New Roman" w:hAnsi="Times New Roman"/>
                <w:b/>
                <w:szCs w:val="21"/>
              </w:rPr>
              <w:t>法定代表人</w:t>
            </w:r>
          </w:p>
        </w:tc>
        <w:tc>
          <w:tcPr>
            <w:tcW w:w="6482" w:type="dxa"/>
            <w:gridSpan w:val="3"/>
            <w:vAlign w:val="center"/>
          </w:tcPr>
          <w:p w:rsidR="0001645E" w:rsidRPr="002B50D9" w:rsidRDefault="0001645E" w:rsidP="00A41514">
            <w:pPr>
              <w:spacing w:beforeLines="10" w:before="31" w:afterLines="10" w:after="31"/>
              <w:rPr>
                <w:rFonts w:ascii="Times New Roman" w:hAnsi="Times New Roman"/>
                <w:szCs w:val="21"/>
              </w:rPr>
            </w:pPr>
            <w:r w:rsidRPr="002B50D9">
              <w:rPr>
                <w:rFonts w:ascii="Times New Roman" w:hAnsi="Times New Roman"/>
                <w:szCs w:val="21"/>
              </w:rPr>
              <w:t>张景明</w:t>
            </w:r>
          </w:p>
        </w:tc>
      </w:tr>
      <w:tr w:rsidR="0001645E" w:rsidRPr="002B50D9" w:rsidTr="00A41514">
        <w:trPr>
          <w:trHeight w:val="340"/>
          <w:tblHeader/>
          <w:jc w:val="center"/>
        </w:trPr>
        <w:tc>
          <w:tcPr>
            <w:tcW w:w="2141" w:type="dxa"/>
            <w:vAlign w:val="center"/>
          </w:tcPr>
          <w:p w:rsidR="0001645E" w:rsidRPr="002B50D9" w:rsidRDefault="0001645E" w:rsidP="00A41514">
            <w:pPr>
              <w:spacing w:beforeLines="10" w:before="31" w:afterLines="10" w:after="31"/>
              <w:ind w:right="210"/>
              <w:rPr>
                <w:rFonts w:ascii="Times New Roman" w:hAnsi="Times New Roman"/>
                <w:b/>
                <w:szCs w:val="21"/>
              </w:rPr>
            </w:pPr>
            <w:r w:rsidRPr="002B50D9">
              <w:rPr>
                <w:rFonts w:ascii="Times New Roman" w:hAnsi="Times New Roman"/>
                <w:b/>
                <w:szCs w:val="21"/>
              </w:rPr>
              <w:t>企业类型</w:t>
            </w:r>
          </w:p>
        </w:tc>
        <w:tc>
          <w:tcPr>
            <w:tcW w:w="6482" w:type="dxa"/>
            <w:gridSpan w:val="3"/>
            <w:vAlign w:val="center"/>
          </w:tcPr>
          <w:p w:rsidR="0001645E" w:rsidRPr="002B50D9" w:rsidRDefault="0001645E" w:rsidP="00A41514">
            <w:pPr>
              <w:spacing w:beforeLines="10" w:before="31" w:afterLines="10" w:after="31"/>
              <w:rPr>
                <w:rFonts w:ascii="Times New Roman" w:hAnsi="Times New Roman"/>
                <w:szCs w:val="21"/>
              </w:rPr>
            </w:pPr>
            <w:r w:rsidRPr="002B50D9">
              <w:rPr>
                <w:rFonts w:ascii="Times New Roman" w:hAnsi="Times New Roman"/>
                <w:szCs w:val="21"/>
              </w:rPr>
              <w:t>有限责任公司</w:t>
            </w:r>
          </w:p>
        </w:tc>
      </w:tr>
      <w:tr w:rsidR="0001645E" w:rsidRPr="002B50D9" w:rsidTr="00A41514">
        <w:trPr>
          <w:trHeight w:val="185"/>
          <w:tblHeader/>
          <w:jc w:val="center"/>
        </w:trPr>
        <w:tc>
          <w:tcPr>
            <w:tcW w:w="2141" w:type="dxa"/>
            <w:vMerge w:val="restart"/>
            <w:vAlign w:val="center"/>
          </w:tcPr>
          <w:p w:rsidR="0001645E" w:rsidRPr="002B50D9" w:rsidRDefault="0001645E" w:rsidP="00A41514">
            <w:pPr>
              <w:spacing w:beforeLines="10" w:before="31" w:afterLines="10" w:after="31"/>
              <w:ind w:right="210"/>
              <w:rPr>
                <w:rFonts w:ascii="Times New Roman" w:hAnsi="Times New Roman"/>
                <w:b/>
                <w:szCs w:val="21"/>
              </w:rPr>
            </w:pPr>
            <w:r w:rsidRPr="002B50D9">
              <w:rPr>
                <w:rFonts w:ascii="Times New Roman" w:hAnsi="Times New Roman"/>
                <w:b/>
                <w:szCs w:val="21"/>
              </w:rPr>
              <w:t>股东情况</w:t>
            </w:r>
          </w:p>
        </w:tc>
        <w:tc>
          <w:tcPr>
            <w:tcW w:w="3827" w:type="dxa"/>
            <w:vAlign w:val="center"/>
          </w:tcPr>
          <w:p w:rsidR="0001645E" w:rsidRPr="002B50D9" w:rsidRDefault="0001645E" w:rsidP="00A41514">
            <w:pPr>
              <w:spacing w:beforeLines="10" w:before="31" w:afterLines="10" w:after="31"/>
              <w:jc w:val="center"/>
              <w:rPr>
                <w:rFonts w:ascii="Times New Roman" w:hAnsi="Times New Roman"/>
                <w:szCs w:val="21"/>
              </w:rPr>
            </w:pPr>
            <w:r w:rsidRPr="002B50D9">
              <w:rPr>
                <w:rFonts w:ascii="Times New Roman" w:hAnsi="Times New Roman"/>
                <w:szCs w:val="21"/>
              </w:rPr>
              <w:t>合伙人</w:t>
            </w:r>
          </w:p>
        </w:tc>
        <w:tc>
          <w:tcPr>
            <w:tcW w:w="1559" w:type="dxa"/>
            <w:vAlign w:val="center"/>
          </w:tcPr>
          <w:p w:rsidR="0001645E" w:rsidRPr="002B50D9" w:rsidRDefault="0001645E" w:rsidP="00A41514">
            <w:pPr>
              <w:spacing w:beforeLines="10" w:before="31" w:afterLines="10" w:after="31"/>
              <w:jc w:val="center"/>
              <w:rPr>
                <w:rFonts w:ascii="Times New Roman" w:hAnsi="Times New Roman"/>
                <w:szCs w:val="21"/>
              </w:rPr>
            </w:pPr>
            <w:r w:rsidRPr="002B50D9">
              <w:rPr>
                <w:rFonts w:ascii="Times New Roman" w:hAnsi="Times New Roman"/>
                <w:szCs w:val="21"/>
              </w:rPr>
              <w:t>出资额</w:t>
            </w:r>
          </w:p>
        </w:tc>
        <w:tc>
          <w:tcPr>
            <w:tcW w:w="1096" w:type="dxa"/>
            <w:vAlign w:val="center"/>
          </w:tcPr>
          <w:p w:rsidR="0001645E" w:rsidRPr="002B50D9" w:rsidRDefault="0001645E" w:rsidP="00A41514">
            <w:pPr>
              <w:spacing w:beforeLines="10" w:before="31" w:afterLines="10" w:after="31"/>
              <w:jc w:val="center"/>
              <w:rPr>
                <w:rFonts w:ascii="Times New Roman" w:hAnsi="Times New Roman"/>
                <w:szCs w:val="21"/>
              </w:rPr>
            </w:pPr>
            <w:r w:rsidRPr="002B50D9">
              <w:rPr>
                <w:rFonts w:ascii="Times New Roman" w:hAnsi="Times New Roman"/>
                <w:szCs w:val="21"/>
              </w:rPr>
              <w:t>比例</w:t>
            </w:r>
          </w:p>
        </w:tc>
      </w:tr>
      <w:tr w:rsidR="0001645E" w:rsidRPr="002B50D9" w:rsidTr="00A41514">
        <w:trPr>
          <w:trHeight w:val="185"/>
          <w:tblHeader/>
          <w:jc w:val="center"/>
        </w:trPr>
        <w:tc>
          <w:tcPr>
            <w:tcW w:w="2141" w:type="dxa"/>
            <w:vMerge/>
            <w:vAlign w:val="center"/>
          </w:tcPr>
          <w:p w:rsidR="0001645E" w:rsidRPr="002B50D9" w:rsidRDefault="0001645E" w:rsidP="00A41514">
            <w:pPr>
              <w:spacing w:beforeLines="10" w:before="31" w:afterLines="10" w:after="31"/>
              <w:ind w:right="210"/>
              <w:rPr>
                <w:rFonts w:ascii="Times New Roman" w:hAnsi="Times New Roman"/>
                <w:b/>
                <w:szCs w:val="21"/>
              </w:rPr>
            </w:pPr>
          </w:p>
        </w:tc>
        <w:tc>
          <w:tcPr>
            <w:tcW w:w="3827" w:type="dxa"/>
            <w:vAlign w:val="center"/>
          </w:tcPr>
          <w:p w:rsidR="0001645E" w:rsidRPr="002B50D9" w:rsidRDefault="0001645E" w:rsidP="00A41514">
            <w:pPr>
              <w:spacing w:beforeLines="10" w:before="31" w:afterLines="10" w:after="31"/>
              <w:rPr>
                <w:rFonts w:ascii="Times New Roman" w:hAnsi="Times New Roman"/>
                <w:szCs w:val="21"/>
              </w:rPr>
            </w:pPr>
            <w:proofErr w:type="gramStart"/>
            <w:r w:rsidRPr="002B50D9">
              <w:rPr>
                <w:rFonts w:ascii="Times New Roman" w:hAnsi="Times New Roman"/>
                <w:szCs w:val="21"/>
              </w:rPr>
              <w:t>万景恒丰</w:t>
            </w:r>
            <w:proofErr w:type="gramEnd"/>
            <w:r w:rsidRPr="002B50D9">
              <w:rPr>
                <w:rFonts w:ascii="Times New Roman" w:hAnsi="Times New Roman"/>
                <w:szCs w:val="21"/>
              </w:rPr>
              <w:t>国际投资控股有限公司</w:t>
            </w:r>
          </w:p>
        </w:tc>
        <w:tc>
          <w:tcPr>
            <w:tcW w:w="1559"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szCs w:val="21"/>
              </w:rPr>
              <w:t>140,000</w:t>
            </w:r>
            <w:r w:rsidRPr="002B50D9">
              <w:rPr>
                <w:rFonts w:ascii="Times New Roman" w:hAnsi="Times New Roman"/>
                <w:szCs w:val="21"/>
              </w:rPr>
              <w:t>万</w:t>
            </w:r>
          </w:p>
        </w:tc>
        <w:tc>
          <w:tcPr>
            <w:tcW w:w="1096"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szCs w:val="21"/>
              </w:rPr>
              <w:t>70.00%</w:t>
            </w:r>
          </w:p>
        </w:tc>
      </w:tr>
      <w:tr w:rsidR="0001645E" w:rsidRPr="002B50D9" w:rsidTr="00A41514">
        <w:trPr>
          <w:trHeight w:val="375"/>
          <w:tblHeader/>
          <w:jc w:val="center"/>
        </w:trPr>
        <w:tc>
          <w:tcPr>
            <w:tcW w:w="2141" w:type="dxa"/>
            <w:vMerge/>
            <w:vAlign w:val="center"/>
          </w:tcPr>
          <w:p w:rsidR="0001645E" w:rsidRPr="002B50D9" w:rsidRDefault="0001645E" w:rsidP="00A41514">
            <w:pPr>
              <w:spacing w:beforeLines="10" w:before="31" w:afterLines="10" w:after="31"/>
              <w:ind w:right="210"/>
              <w:rPr>
                <w:rFonts w:ascii="Times New Roman" w:hAnsi="Times New Roman"/>
                <w:b/>
                <w:szCs w:val="21"/>
              </w:rPr>
            </w:pPr>
          </w:p>
        </w:tc>
        <w:tc>
          <w:tcPr>
            <w:tcW w:w="3827" w:type="dxa"/>
            <w:vAlign w:val="center"/>
          </w:tcPr>
          <w:p w:rsidR="0001645E" w:rsidRPr="002B50D9" w:rsidRDefault="0001645E" w:rsidP="00A41514">
            <w:pPr>
              <w:spacing w:beforeLines="10" w:before="31" w:afterLines="10" w:after="31"/>
              <w:rPr>
                <w:rFonts w:ascii="Times New Roman" w:hAnsi="Times New Roman"/>
                <w:szCs w:val="21"/>
              </w:rPr>
            </w:pPr>
            <w:proofErr w:type="gramStart"/>
            <w:r w:rsidRPr="002B50D9">
              <w:rPr>
                <w:rFonts w:ascii="Times New Roman" w:hAnsi="Times New Roman"/>
                <w:szCs w:val="21"/>
              </w:rPr>
              <w:t>中晶蓝</w:t>
            </w:r>
            <w:proofErr w:type="gramEnd"/>
            <w:r w:rsidRPr="002B50D9">
              <w:rPr>
                <w:rFonts w:ascii="Times New Roman" w:hAnsi="Times New Roman"/>
                <w:szCs w:val="21"/>
              </w:rPr>
              <w:t>实业集团有限公司</w:t>
            </w:r>
          </w:p>
        </w:tc>
        <w:tc>
          <w:tcPr>
            <w:tcW w:w="1559"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szCs w:val="21"/>
              </w:rPr>
              <w:t>30,000</w:t>
            </w:r>
            <w:r w:rsidRPr="002B50D9">
              <w:rPr>
                <w:rFonts w:ascii="Times New Roman" w:hAnsi="Times New Roman"/>
                <w:szCs w:val="21"/>
              </w:rPr>
              <w:t>万</w:t>
            </w:r>
          </w:p>
        </w:tc>
        <w:tc>
          <w:tcPr>
            <w:tcW w:w="1096"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szCs w:val="21"/>
              </w:rPr>
              <w:t>15.00%</w:t>
            </w:r>
          </w:p>
        </w:tc>
      </w:tr>
      <w:tr w:rsidR="0001645E" w:rsidRPr="002B50D9" w:rsidTr="00A41514">
        <w:trPr>
          <w:trHeight w:val="375"/>
          <w:tblHeader/>
          <w:jc w:val="center"/>
        </w:trPr>
        <w:tc>
          <w:tcPr>
            <w:tcW w:w="2141" w:type="dxa"/>
            <w:vMerge/>
            <w:vAlign w:val="center"/>
          </w:tcPr>
          <w:p w:rsidR="0001645E" w:rsidRPr="002B50D9" w:rsidRDefault="0001645E" w:rsidP="00A41514">
            <w:pPr>
              <w:spacing w:beforeLines="10" w:before="31" w:afterLines="10" w:after="31"/>
              <w:ind w:right="210"/>
              <w:rPr>
                <w:rFonts w:ascii="Times New Roman" w:hAnsi="Times New Roman"/>
                <w:b/>
                <w:szCs w:val="21"/>
              </w:rPr>
            </w:pPr>
          </w:p>
        </w:tc>
        <w:tc>
          <w:tcPr>
            <w:tcW w:w="3827" w:type="dxa"/>
            <w:vAlign w:val="center"/>
          </w:tcPr>
          <w:p w:rsidR="0001645E" w:rsidRPr="002B50D9" w:rsidRDefault="0001645E" w:rsidP="00A41514">
            <w:pPr>
              <w:spacing w:beforeLines="10" w:before="31" w:afterLines="10" w:after="31"/>
              <w:rPr>
                <w:rFonts w:ascii="Times New Roman" w:hAnsi="Times New Roman"/>
                <w:szCs w:val="21"/>
              </w:rPr>
            </w:pPr>
            <w:r w:rsidRPr="002B50D9">
              <w:rPr>
                <w:rFonts w:ascii="Times New Roman" w:hAnsi="Times New Roman"/>
                <w:szCs w:val="21"/>
              </w:rPr>
              <w:t>王永杰</w:t>
            </w:r>
          </w:p>
        </w:tc>
        <w:tc>
          <w:tcPr>
            <w:tcW w:w="1559"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szCs w:val="21"/>
              </w:rPr>
              <w:t>30,000</w:t>
            </w:r>
            <w:r w:rsidRPr="002B50D9">
              <w:rPr>
                <w:rFonts w:ascii="Times New Roman" w:hAnsi="Times New Roman"/>
                <w:szCs w:val="21"/>
              </w:rPr>
              <w:t>万</w:t>
            </w:r>
          </w:p>
        </w:tc>
        <w:tc>
          <w:tcPr>
            <w:tcW w:w="1096"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szCs w:val="21"/>
              </w:rPr>
              <w:t>15.00%</w:t>
            </w:r>
          </w:p>
        </w:tc>
      </w:tr>
      <w:tr w:rsidR="0001645E" w:rsidRPr="002B50D9" w:rsidTr="00A41514">
        <w:trPr>
          <w:trHeight w:val="363"/>
          <w:tblHeader/>
          <w:jc w:val="center"/>
        </w:trPr>
        <w:tc>
          <w:tcPr>
            <w:tcW w:w="2141" w:type="dxa"/>
            <w:vMerge/>
            <w:vAlign w:val="center"/>
          </w:tcPr>
          <w:p w:rsidR="0001645E" w:rsidRPr="002B50D9" w:rsidRDefault="0001645E" w:rsidP="00A41514">
            <w:pPr>
              <w:spacing w:beforeLines="10" w:before="31" w:afterLines="10" w:after="31"/>
              <w:ind w:right="210"/>
              <w:rPr>
                <w:rFonts w:ascii="Times New Roman" w:hAnsi="Times New Roman"/>
                <w:b/>
                <w:szCs w:val="21"/>
              </w:rPr>
            </w:pPr>
          </w:p>
        </w:tc>
        <w:tc>
          <w:tcPr>
            <w:tcW w:w="3827" w:type="dxa"/>
            <w:vAlign w:val="center"/>
          </w:tcPr>
          <w:p w:rsidR="0001645E" w:rsidRPr="002B50D9" w:rsidRDefault="0001645E" w:rsidP="00A41514">
            <w:pPr>
              <w:spacing w:beforeLines="10" w:before="31" w:afterLines="10" w:after="31"/>
              <w:jc w:val="center"/>
              <w:rPr>
                <w:rFonts w:ascii="Times New Roman" w:hAnsi="Times New Roman"/>
                <w:b/>
                <w:bCs/>
                <w:szCs w:val="21"/>
              </w:rPr>
            </w:pPr>
            <w:r w:rsidRPr="002B50D9">
              <w:rPr>
                <w:rFonts w:ascii="Times New Roman" w:hAnsi="Times New Roman"/>
                <w:b/>
                <w:bCs/>
                <w:szCs w:val="21"/>
              </w:rPr>
              <w:t>合计</w:t>
            </w:r>
          </w:p>
        </w:tc>
        <w:tc>
          <w:tcPr>
            <w:tcW w:w="1559"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kern w:val="0"/>
                <w:szCs w:val="21"/>
              </w:rPr>
              <w:t>200,000</w:t>
            </w:r>
            <w:r w:rsidRPr="002B50D9">
              <w:rPr>
                <w:rFonts w:ascii="Times New Roman" w:hAnsi="Times New Roman"/>
                <w:szCs w:val="21"/>
              </w:rPr>
              <w:t>万</w:t>
            </w:r>
          </w:p>
        </w:tc>
        <w:tc>
          <w:tcPr>
            <w:tcW w:w="1096" w:type="dxa"/>
            <w:vAlign w:val="center"/>
          </w:tcPr>
          <w:p w:rsidR="0001645E" w:rsidRPr="002B50D9" w:rsidRDefault="0001645E" w:rsidP="00A41514">
            <w:pPr>
              <w:spacing w:beforeLines="10" w:before="31" w:afterLines="10" w:after="31"/>
              <w:jc w:val="right"/>
              <w:rPr>
                <w:rFonts w:ascii="Times New Roman" w:hAnsi="Times New Roman"/>
                <w:szCs w:val="21"/>
              </w:rPr>
            </w:pPr>
            <w:r w:rsidRPr="002B50D9">
              <w:rPr>
                <w:rFonts w:ascii="Times New Roman" w:hAnsi="Times New Roman"/>
                <w:szCs w:val="21"/>
              </w:rPr>
              <w:t>100.00%</w:t>
            </w:r>
          </w:p>
        </w:tc>
      </w:tr>
    </w:tbl>
    <w:p w:rsidR="006B5E7B" w:rsidRPr="00E177DC" w:rsidRDefault="00873736" w:rsidP="00E177DC">
      <w:pPr>
        <w:spacing w:beforeLines="50" w:before="156" w:afterLines="50" w:after="156" w:line="360" w:lineRule="auto"/>
        <w:ind w:firstLine="482"/>
        <w:jc w:val="left"/>
        <w:rPr>
          <w:rFonts w:ascii="Times New Roman" w:hAnsi="Times New Roman"/>
          <w:b/>
          <w:color w:val="000000"/>
          <w:kern w:val="0"/>
          <w:sz w:val="24"/>
        </w:rPr>
      </w:pPr>
      <w:r>
        <w:rPr>
          <w:rFonts w:ascii="Times New Roman" w:hAnsi="Times New Roman" w:hint="eastAsia"/>
          <w:b/>
          <w:color w:val="000000"/>
          <w:kern w:val="0"/>
          <w:sz w:val="24"/>
        </w:rPr>
        <w:t>二</w:t>
      </w:r>
      <w:r w:rsidR="00195808">
        <w:rPr>
          <w:rFonts w:ascii="Times New Roman" w:hAnsi="Times New Roman" w:hint="eastAsia"/>
          <w:b/>
          <w:color w:val="000000"/>
          <w:kern w:val="0"/>
          <w:sz w:val="24"/>
        </w:rPr>
        <w:t>、本次权益变动</w:t>
      </w:r>
      <w:r w:rsidR="0067616D">
        <w:rPr>
          <w:rFonts w:ascii="Times New Roman" w:hAnsi="Times New Roman" w:hint="eastAsia"/>
          <w:b/>
          <w:color w:val="000000"/>
          <w:kern w:val="0"/>
          <w:sz w:val="24"/>
        </w:rPr>
        <w:t>前后持股情况</w:t>
      </w:r>
    </w:p>
    <w:tbl>
      <w:tblPr>
        <w:tblStyle w:val="a9"/>
        <w:tblW w:w="82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668"/>
        <w:gridCol w:w="1701"/>
        <w:gridCol w:w="1417"/>
        <w:gridCol w:w="992"/>
        <w:gridCol w:w="1418"/>
        <w:gridCol w:w="1100"/>
      </w:tblGrid>
      <w:tr w:rsidR="006B5E7B" w:rsidRPr="009B2E96" w:rsidTr="009B2E96">
        <w:trPr>
          <w:trHeight w:val="315"/>
        </w:trPr>
        <w:tc>
          <w:tcPr>
            <w:tcW w:w="1668" w:type="dxa"/>
            <w:vMerge w:val="restart"/>
            <w:vAlign w:val="center"/>
          </w:tcPr>
          <w:p w:rsidR="006B5E7B" w:rsidRPr="009B2E96" w:rsidRDefault="00195808"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股东名称</w:t>
            </w:r>
          </w:p>
        </w:tc>
        <w:tc>
          <w:tcPr>
            <w:tcW w:w="1701" w:type="dxa"/>
            <w:vMerge w:val="restart"/>
            <w:vAlign w:val="center"/>
          </w:tcPr>
          <w:p w:rsidR="006B5E7B" w:rsidRPr="009B2E96" w:rsidRDefault="0067616D"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股东类型</w:t>
            </w:r>
          </w:p>
        </w:tc>
        <w:tc>
          <w:tcPr>
            <w:tcW w:w="2409" w:type="dxa"/>
            <w:gridSpan w:val="2"/>
            <w:vAlign w:val="center"/>
          </w:tcPr>
          <w:p w:rsidR="00027D88" w:rsidRPr="009B2E96" w:rsidRDefault="00195808"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本次</w:t>
            </w:r>
            <w:r w:rsidR="005D657C" w:rsidRPr="009B2E96">
              <w:rPr>
                <w:rFonts w:ascii="Times New Roman" w:eastAsiaTheme="minorEastAsia" w:hAnsi="Times New Roman"/>
                <w:b/>
                <w:color w:val="000000"/>
                <w:kern w:val="0"/>
                <w:szCs w:val="21"/>
              </w:rPr>
              <w:t>权益变动</w:t>
            </w:r>
            <w:r w:rsidRPr="009B2E96">
              <w:rPr>
                <w:rFonts w:ascii="Times New Roman" w:eastAsiaTheme="minorEastAsia" w:hAnsi="Times New Roman"/>
                <w:b/>
                <w:color w:val="000000"/>
                <w:kern w:val="0"/>
                <w:szCs w:val="21"/>
              </w:rPr>
              <w:t>前</w:t>
            </w:r>
          </w:p>
          <w:p w:rsidR="006B5E7B" w:rsidRPr="009B2E96" w:rsidRDefault="00195808"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持有股份</w:t>
            </w:r>
          </w:p>
        </w:tc>
        <w:tc>
          <w:tcPr>
            <w:tcW w:w="2518" w:type="dxa"/>
            <w:gridSpan w:val="2"/>
            <w:vAlign w:val="center"/>
          </w:tcPr>
          <w:p w:rsidR="00027D88" w:rsidRPr="009B2E96" w:rsidRDefault="00195808"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本次</w:t>
            </w:r>
            <w:r w:rsidR="005D657C" w:rsidRPr="009B2E96">
              <w:rPr>
                <w:rFonts w:ascii="Times New Roman" w:eastAsiaTheme="minorEastAsia" w:hAnsi="Times New Roman"/>
                <w:b/>
                <w:color w:val="000000"/>
                <w:kern w:val="0"/>
                <w:szCs w:val="21"/>
              </w:rPr>
              <w:t>权益变动</w:t>
            </w:r>
            <w:r w:rsidRPr="009B2E96">
              <w:rPr>
                <w:rFonts w:ascii="Times New Roman" w:eastAsiaTheme="minorEastAsia" w:hAnsi="Times New Roman"/>
                <w:b/>
                <w:color w:val="000000"/>
                <w:kern w:val="0"/>
                <w:szCs w:val="21"/>
              </w:rPr>
              <w:t>后</w:t>
            </w:r>
          </w:p>
          <w:p w:rsidR="006B5E7B" w:rsidRPr="009B2E96" w:rsidRDefault="00195808"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持有股份</w:t>
            </w:r>
          </w:p>
        </w:tc>
      </w:tr>
      <w:tr w:rsidR="006B5E7B" w:rsidRPr="009B2E96" w:rsidTr="009B2E96">
        <w:trPr>
          <w:trHeight w:val="315"/>
        </w:trPr>
        <w:tc>
          <w:tcPr>
            <w:tcW w:w="1668" w:type="dxa"/>
            <w:vMerge/>
            <w:vAlign w:val="center"/>
          </w:tcPr>
          <w:p w:rsidR="006B5E7B" w:rsidRPr="009B2E96" w:rsidRDefault="006B5E7B" w:rsidP="009B2E96">
            <w:pPr>
              <w:jc w:val="center"/>
              <w:rPr>
                <w:rFonts w:ascii="Times New Roman" w:eastAsiaTheme="minorEastAsia" w:hAnsi="Times New Roman"/>
                <w:b/>
                <w:color w:val="000000"/>
                <w:kern w:val="0"/>
                <w:szCs w:val="21"/>
              </w:rPr>
            </w:pPr>
          </w:p>
        </w:tc>
        <w:tc>
          <w:tcPr>
            <w:tcW w:w="1701" w:type="dxa"/>
            <w:vMerge/>
            <w:vAlign w:val="center"/>
          </w:tcPr>
          <w:p w:rsidR="006B5E7B" w:rsidRPr="009B2E96" w:rsidRDefault="006B5E7B" w:rsidP="009B2E96">
            <w:pPr>
              <w:jc w:val="center"/>
              <w:rPr>
                <w:rFonts w:ascii="Times New Roman" w:eastAsiaTheme="minorEastAsia" w:hAnsi="Times New Roman"/>
                <w:b/>
                <w:color w:val="000000"/>
                <w:kern w:val="0"/>
                <w:szCs w:val="21"/>
              </w:rPr>
            </w:pPr>
          </w:p>
        </w:tc>
        <w:tc>
          <w:tcPr>
            <w:tcW w:w="1417" w:type="dxa"/>
            <w:vAlign w:val="center"/>
          </w:tcPr>
          <w:p w:rsidR="006B5E7B" w:rsidRPr="009B2E96" w:rsidRDefault="005D657C"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持股数量</w:t>
            </w:r>
            <w:r w:rsidR="00195808" w:rsidRPr="009B2E96">
              <w:rPr>
                <w:rFonts w:ascii="Times New Roman" w:eastAsiaTheme="minorEastAsia" w:hAnsi="Times New Roman"/>
                <w:b/>
                <w:color w:val="000000"/>
                <w:kern w:val="0"/>
                <w:szCs w:val="21"/>
              </w:rPr>
              <w:t>（股）</w:t>
            </w:r>
          </w:p>
        </w:tc>
        <w:tc>
          <w:tcPr>
            <w:tcW w:w="992" w:type="dxa"/>
            <w:vAlign w:val="center"/>
          </w:tcPr>
          <w:p w:rsidR="006B5E7B" w:rsidRPr="009B2E96" w:rsidRDefault="005D657C" w:rsidP="009B2E96">
            <w:pP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占总股本比例</w:t>
            </w:r>
          </w:p>
        </w:tc>
        <w:tc>
          <w:tcPr>
            <w:tcW w:w="1418" w:type="dxa"/>
            <w:vAlign w:val="center"/>
          </w:tcPr>
          <w:p w:rsidR="006B5E7B" w:rsidRPr="009B2E96" w:rsidRDefault="00195808"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股数（股）</w:t>
            </w:r>
          </w:p>
        </w:tc>
        <w:tc>
          <w:tcPr>
            <w:tcW w:w="1100" w:type="dxa"/>
            <w:vAlign w:val="center"/>
          </w:tcPr>
          <w:p w:rsidR="006B5E7B" w:rsidRPr="009B2E96" w:rsidRDefault="00195808" w:rsidP="009B2E96">
            <w:pPr>
              <w:jc w:val="center"/>
              <w:rPr>
                <w:rFonts w:ascii="Times New Roman" w:eastAsiaTheme="minorEastAsia" w:hAnsi="Times New Roman"/>
                <w:b/>
                <w:color w:val="000000"/>
                <w:kern w:val="0"/>
                <w:szCs w:val="21"/>
              </w:rPr>
            </w:pPr>
            <w:r w:rsidRPr="009B2E96">
              <w:rPr>
                <w:rFonts w:ascii="Times New Roman" w:eastAsiaTheme="minorEastAsia" w:hAnsi="Times New Roman"/>
                <w:b/>
                <w:color w:val="000000"/>
                <w:kern w:val="0"/>
                <w:szCs w:val="21"/>
              </w:rPr>
              <w:t>占总股本比例</w:t>
            </w:r>
          </w:p>
        </w:tc>
      </w:tr>
      <w:tr w:rsidR="00FC6402" w:rsidRPr="009B2E96" w:rsidTr="00AB6BBD">
        <w:trPr>
          <w:trHeight w:val="500"/>
        </w:trPr>
        <w:tc>
          <w:tcPr>
            <w:tcW w:w="1668" w:type="dxa"/>
            <w:vAlign w:val="center"/>
          </w:tcPr>
          <w:p w:rsidR="00FC6402" w:rsidRPr="009B2E96" w:rsidRDefault="0067616D" w:rsidP="009B2E96">
            <w:pPr>
              <w:jc w:val="center"/>
              <w:rPr>
                <w:rFonts w:ascii="Times New Roman" w:eastAsiaTheme="minorEastAsia" w:hAnsi="Times New Roman"/>
                <w:szCs w:val="21"/>
              </w:rPr>
            </w:pPr>
            <w:proofErr w:type="spellStart"/>
            <w:r w:rsidRPr="009B2E96">
              <w:rPr>
                <w:rFonts w:ascii="Times New Roman" w:eastAsiaTheme="minorEastAsia" w:hAnsi="Times New Roman"/>
                <w:szCs w:val="21"/>
              </w:rPr>
              <w:t>Finstone</w:t>
            </w:r>
            <w:proofErr w:type="spellEnd"/>
            <w:r w:rsidRPr="009B2E96">
              <w:rPr>
                <w:rFonts w:ascii="Times New Roman" w:eastAsiaTheme="minorEastAsia" w:hAnsi="Times New Roman"/>
                <w:szCs w:val="21"/>
              </w:rPr>
              <w:t xml:space="preserve"> </w:t>
            </w:r>
            <w:r w:rsidR="002A2B56">
              <w:rPr>
                <w:rFonts w:ascii="Times New Roman" w:eastAsiaTheme="minorEastAsia" w:hAnsi="Times New Roman"/>
                <w:szCs w:val="21"/>
              </w:rPr>
              <w:t>AG</w:t>
            </w:r>
          </w:p>
        </w:tc>
        <w:tc>
          <w:tcPr>
            <w:tcW w:w="1701" w:type="dxa"/>
            <w:vAlign w:val="center"/>
          </w:tcPr>
          <w:p w:rsidR="00FC6402" w:rsidRPr="009B2E96" w:rsidRDefault="005D657C" w:rsidP="009B2E96">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第一大股东</w:t>
            </w:r>
          </w:p>
        </w:tc>
        <w:tc>
          <w:tcPr>
            <w:tcW w:w="1417" w:type="dxa"/>
            <w:vAlign w:val="center"/>
          </w:tcPr>
          <w:p w:rsidR="00FC6402" w:rsidRPr="009B2E96" w:rsidRDefault="00FC6402" w:rsidP="009B2E96">
            <w:pPr>
              <w:jc w:val="center"/>
              <w:rPr>
                <w:rFonts w:ascii="Times New Roman" w:eastAsiaTheme="minorEastAsia" w:hAnsi="Times New Roman"/>
                <w:szCs w:val="21"/>
              </w:rPr>
            </w:pPr>
            <w:r w:rsidRPr="009B2E96">
              <w:rPr>
                <w:rFonts w:ascii="Times New Roman" w:eastAsiaTheme="minorEastAsia" w:hAnsi="Times New Roman"/>
                <w:szCs w:val="21"/>
              </w:rPr>
              <w:t>43,050,050</w:t>
            </w:r>
          </w:p>
        </w:tc>
        <w:tc>
          <w:tcPr>
            <w:tcW w:w="992" w:type="dxa"/>
            <w:vAlign w:val="center"/>
          </w:tcPr>
          <w:p w:rsidR="00FC6402" w:rsidRPr="009B2E96" w:rsidRDefault="00FC6402" w:rsidP="009B2E96">
            <w:pPr>
              <w:jc w:val="center"/>
              <w:rPr>
                <w:rFonts w:ascii="Times New Roman" w:eastAsiaTheme="minorEastAsia" w:hAnsi="Times New Roman"/>
                <w:color w:val="000000"/>
                <w:kern w:val="0"/>
                <w:szCs w:val="21"/>
              </w:rPr>
            </w:pPr>
            <w:r w:rsidRPr="009B2E96">
              <w:rPr>
                <w:rFonts w:ascii="Times New Roman" w:eastAsiaTheme="minorEastAsia" w:hAnsi="Times New Roman"/>
                <w:szCs w:val="21"/>
              </w:rPr>
              <w:t>21.53%</w:t>
            </w:r>
          </w:p>
        </w:tc>
        <w:tc>
          <w:tcPr>
            <w:tcW w:w="1418" w:type="dxa"/>
            <w:vAlign w:val="center"/>
          </w:tcPr>
          <w:p w:rsidR="00FC6402" w:rsidRPr="009B2E96" w:rsidRDefault="00FC6402" w:rsidP="009B2E96">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0</w:t>
            </w:r>
          </w:p>
        </w:tc>
        <w:tc>
          <w:tcPr>
            <w:tcW w:w="1100" w:type="dxa"/>
            <w:vAlign w:val="center"/>
          </w:tcPr>
          <w:p w:rsidR="00FC6402" w:rsidRPr="009B2E96" w:rsidRDefault="00FC6402" w:rsidP="009B2E96">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0%</w:t>
            </w:r>
          </w:p>
        </w:tc>
      </w:tr>
      <w:tr w:rsidR="00AB6BBD" w:rsidRPr="009B2E96" w:rsidTr="00AB6BBD">
        <w:trPr>
          <w:trHeight w:val="500"/>
        </w:trPr>
        <w:tc>
          <w:tcPr>
            <w:tcW w:w="1668"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szCs w:val="21"/>
              </w:rPr>
              <w:t>金麟四海</w:t>
            </w:r>
          </w:p>
        </w:tc>
        <w:tc>
          <w:tcPr>
            <w:tcW w:w="1701"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5%</w:t>
            </w:r>
            <w:r w:rsidRPr="009B2E96">
              <w:rPr>
                <w:rFonts w:ascii="Times New Roman" w:eastAsiaTheme="minorEastAsia" w:hAnsi="Times New Roman"/>
                <w:color w:val="000000"/>
                <w:kern w:val="0"/>
                <w:szCs w:val="21"/>
              </w:rPr>
              <w:t>以上大股东</w:t>
            </w:r>
          </w:p>
        </w:tc>
        <w:tc>
          <w:tcPr>
            <w:tcW w:w="1417"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0</w:t>
            </w:r>
          </w:p>
        </w:tc>
        <w:tc>
          <w:tcPr>
            <w:tcW w:w="992"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0%</w:t>
            </w:r>
          </w:p>
        </w:tc>
        <w:tc>
          <w:tcPr>
            <w:tcW w:w="1418"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szCs w:val="21"/>
              </w:rPr>
              <w:t>23,000,000</w:t>
            </w:r>
          </w:p>
        </w:tc>
        <w:tc>
          <w:tcPr>
            <w:tcW w:w="1100"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11.5</w:t>
            </w:r>
            <w:r>
              <w:rPr>
                <w:rFonts w:ascii="Times New Roman" w:eastAsiaTheme="minorEastAsia" w:hAnsi="Times New Roman" w:hint="eastAsia"/>
                <w:color w:val="000000"/>
                <w:kern w:val="0"/>
                <w:szCs w:val="21"/>
              </w:rPr>
              <w:t>0</w:t>
            </w:r>
            <w:r w:rsidRPr="009B2E96">
              <w:rPr>
                <w:rFonts w:ascii="Times New Roman" w:eastAsiaTheme="minorEastAsia" w:hAnsi="Times New Roman"/>
                <w:color w:val="000000"/>
                <w:kern w:val="0"/>
                <w:szCs w:val="21"/>
              </w:rPr>
              <w:t>%</w:t>
            </w:r>
          </w:p>
        </w:tc>
      </w:tr>
      <w:tr w:rsidR="00AB6BBD" w:rsidRPr="009B2E96" w:rsidTr="00AB6BBD">
        <w:trPr>
          <w:trHeight w:val="500"/>
        </w:trPr>
        <w:tc>
          <w:tcPr>
            <w:tcW w:w="1668" w:type="dxa"/>
            <w:vAlign w:val="center"/>
          </w:tcPr>
          <w:p w:rsidR="00AB6BBD" w:rsidRPr="009B2E96" w:rsidRDefault="00753A57" w:rsidP="00AB6BBD">
            <w:pPr>
              <w:jc w:val="center"/>
              <w:rPr>
                <w:rFonts w:ascii="Times New Roman" w:eastAsiaTheme="minorEastAsia" w:hAnsi="Times New Roman"/>
                <w:color w:val="000000"/>
                <w:kern w:val="0"/>
                <w:szCs w:val="21"/>
              </w:rPr>
            </w:pPr>
            <w:r>
              <w:rPr>
                <w:rFonts w:ascii="Times New Roman" w:eastAsiaTheme="minorEastAsia" w:hAnsi="Times New Roman" w:hint="eastAsia"/>
                <w:szCs w:val="21"/>
              </w:rPr>
              <w:t>八大处</w:t>
            </w:r>
          </w:p>
        </w:tc>
        <w:tc>
          <w:tcPr>
            <w:tcW w:w="1701"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 xml:space="preserve"> 5%</w:t>
            </w:r>
            <w:r w:rsidRPr="009B2E96">
              <w:rPr>
                <w:rFonts w:ascii="Times New Roman" w:eastAsiaTheme="minorEastAsia" w:hAnsi="Times New Roman"/>
                <w:color w:val="000000"/>
                <w:kern w:val="0"/>
                <w:szCs w:val="21"/>
              </w:rPr>
              <w:t>以上大股东</w:t>
            </w:r>
            <w:r w:rsidRPr="009B2E96">
              <w:rPr>
                <w:rFonts w:ascii="Times New Roman" w:eastAsiaTheme="minorEastAsia" w:hAnsi="Times New Roman"/>
                <w:color w:val="000000"/>
                <w:kern w:val="0"/>
                <w:szCs w:val="21"/>
              </w:rPr>
              <w:t xml:space="preserve">  </w:t>
            </w:r>
          </w:p>
        </w:tc>
        <w:tc>
          <w:tcPr>
            <w:tcW w:w="1417"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0</w:t>
            </w:r>
          </w:p>
        </w:tc>
        <w:tc>
          <w:tcPr>
            <w:tcW w:w="992"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0%</w:t>
            </w:r>
          </w:p>
        </w:tc>
        <w:tc>
          <w:tcPr>
            <w:tcW w:w="1418"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20,050,050</w:t>
            </w:r>
          </w:p>
        </w:tc>
        <w:tc>
          <w:tcPr>
            <w:tcW w:w="1100" w:type="dxa"/>
            <w:vAlign w:val="center"/>
          </w:tcPr>
          <w:p w:rsidR="00AB6BBD" w:rsidRPr="009B2E96" w:rsidRDefault="00AB6BBD" w:rsidP="00AB6BBD">
            <w:pPr>
              <w:jc w:val="center"/>
              <w:rPr>
                <w:rFonts w:ascii="Times New Roman" w:eastAsiaTheme="minorEastAsia" w:hAnsi="Times New Roman"/>
                <w:color w:val="000000"/>
                <w:kern w:val="0"/>
                <w:szCs w:val="21"/>
              </w:rPr>
            </w:pPr>
            <w:r w:rsidRPr="009B2E96">
              <w:rPr>
                <w:rFonts w:ascii="Times New Roman" w:eastAsiaTheme="minorEastAsia" w:hAnsi="Times New Roman"/>
                <w:color w:val="000000"/>
                <w:kern w:val="0"/>
                <w:szCs w:val="21"/>
              </w:rPr>
              <w:t>10.0</w:t>
            </w:r>
            <w:r w:rsidR="00592B18">
              <w:rPr>
                <w:rFonts w:ascii="Times New Roman" w:eastAsiaTheme="minorEastAsia" w:hAnsi="Times New Roman" w:hint="eastAsia"/>
                <w:color w:val="000000"/>
                <w:kern w:val="0"/>
                <w:szCs w:val="21"/>
              </w:rPr>
              <w:t>3</w:t>
            </w:r>
            <w:r w:rsidRPr="009B2E96">
              <w:rPr>
                <w:rFonts w:ascii="Times New Roman" w:eastAsiaTheme="minorEastAsia" w:hAnsi="Times New Roman"/>
                <w:szCs w:val="21"/>
              </w:rPr>
              <w:t>%</w:t>
            </w:r>
          </w:p>
        </w:tc>
      </w:tr>
    </w:tbl>
    <w:p w:rsidR="00B244B6" w:rsidRPr="00B2766A" w:rsidRDefault="00B244B6" w:rsidP="00B244B6">
      <w:pPr>
        <w:spacing w:beforeLines="50" w:before="156" w:afterLines="50" w:after="156" w:line="360" w:lineRule="auto"/>
        <w:ind w:firstLine="482"/>
        <w:jc w:val="left"/>
        <w:rPr>
          <w:rFonts w:ascii="Times New Roman" w:hAnsi="Times New Roman"/>
          <w:b/>
          <w:color w:val="000000"/>
          <w:kern w:val="0"/>
          <w:sz w:val="24"/>
        </w:rPr>
      </w:pPr>
      <w:r>
        <w:rPr>
          <w:rFonts w:ascii="Times New Roman" w:hAnsi="Times New Roman" w:hint="eastAsia"/>
          <w:b/>
          <w:color w:val="000000"/>
          <w:kern w:val="0"/>
          <w:sz w:val="24"/>
        </w:rPr>
        <w:lastRenderedPageBreak/>
        <w:t>三</w:t>
      </w:r>
      <w:r w:rsidRPr="00B2766A">
        <w:rPr>
          <w:rFonts w:ascii="Times New Roman" w:hAnsi="Times New Roman"/>
          <w:b/>
          <w:color w:val="000000"/>
          <w:kern w:val="0"/>
          <w:sz w:val="24"/>
        </w:rPr>
        <w:t>、</w:t>
      </w:r>
      <w:r w:rsidR="00DD184F">
        <w:rPr>
          <w:rFonts w:ascii="Times New Roman" w:hAnsi="Times New Roman" w:hint="eastAsia"/>
          <w:b/>
          <w:color w:val="000000"/>
          <w:kern w:val="0"/>
          <w:sz w:val="24"/>
        </w:rPr>
        <w:t>股份转让协议的主要内容</w:t>
      </w:r>
    </w:p>
    <w:p w:rsidR="00412D8F" w:rsidRPr="00367788" w:rsidRDefault="00412D8F" w:rsidP="00367788">
      <w:pPr>
        <w:spacing w:beforeLines="50" w:before="156" w:afterLines="50" w:after="156" w:line="360" w:lineRule="auto"/>
        <w:ind w:firstLine="482"/>
        <w:jc w:val="left"/>
        <w:rPr>
          <w:rFonts w:ascii="Times New Roman" w:hAnsi="Times New Roman"/>
          <w:b/>
          <w:color w:val="000000"/>
          <w:kern w:val="0"/>
          <w:sz w:val="24"/>
        </w:rPr>
      </w:pPr>
      <w:r w:rsidRPr="00367788">
        <w:rPr>
          <w:rFonts w:ascii="Times New Roman" w:hAnsi="Times New Roman"/>
          <w:b/>
          <w:color w:val="000000"/>
          <w:kern w:val="0"/>
          <w:sz w:val="24"/>
        </w:rPr>
        <w:t>（一）</w:t>
      </w:r>
      <w:r w:rsidR="00367788" w:rsidRPr="00624D72">
        <w:rPr>
          <w:rFonts w:ascii="Times New Roman" w:hAnsi="Times New Roman"/>
          <w:b/>
          <w:color w:val="000000"/>
          <w:kern w:val="0"/>
          <w:sz w:val="24"/>
        </w:rPr>
        <w:t>FINSTONE AG</w:t>
      </w:r>
      <w:r w:rsidRPr="00367788">
        <w:rPr>
          <w:rFonts w:ascii="Times New Roman" w:hAnsi="Times New Roman"/>
          <w:b/>
          <w:color w:val="000000"/>
          <w:kern w:val="0"/>
          <w:sz w:val="24"/>
        </w:rPr>
        <w:t>与金麟四海签署的《股权转让协议》</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1</w:t>
      </w:r>
      <w:r w:rsidRPr="00367788">
        <w:rPr>
          <w:rFonts w:ascii="Times New Roman" w:eastAsia="宋体" w:cs="Times New Roman"/>
          <w:bCs/>
          <w:snapToGrid w:val="0"/>
          <w:color w:val="auto"/>
          <w:lang w:eastAsia="zh-CN"/>
        </w:rPr>
        <w:t>、协议签署主体</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甲方：</w:t>
      </w:r>
      <w:r w:rsidRPr="00367788">
        <w:rPr>
          <w:rFonts w:ascii="Times New Roman" w:cs="Times New Roman"/>
          <w:bCs/>
        </w:rPr>
        <w:t>FINSTONE AG</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乙方：金麟四海有限公司</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2</w:t>
      </w:r>
      <w:r w:rsidRPr="00367788">
        <w:rPr>
          <w:rFonts w:ascii="Times New Roman" w:eastAsia="宋体" w:cs="Times New Roman"/>
          <w:bCs/>
          <w:snapToGrid w:val="0"/>
          <w:color w:val="auto"/>
          <w:lang w:eastAsia="zh-CN"/>
        </w:rPr>
        <w:t>、标的股份</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甲方同意将其持有的万里石</w:t>
      </w:r>
      <w:r w:rsidRPr="00367788">
        <w:rPr>
          <w:rFonts w:ascii="Times New Roman" w:hAnsi="Times New Roman"/>
          <w:sz w:val="24"/>
        </w:rPr>
        <w:t>23,000,000</w:t>
      </w:r>
      <w:r w:rsidRPr="00367788">
        <w:rPr>
          <w:rFonts w:ascii="Times New Roman" w:hAnsi="Times New Roman"/>
          <w:sz w:val="24"/>
        </w:rPr>
        <w:t>股股份（占万里石股份总数的</w:t>
      </w:r>
      <w:r w:rsidRPr="00367788">
        <w:rPr>
          <w:rFonts w:ascii="Times New Roman" w:hAnsi="Times New Roman"/>
          <w:sz w:val="24"/>
        </w:rPr>
        <w:t>11.50%</w:t>
      </w:r>
      <w:r w:rsidRPr="00367788">
        <w:rPr>
          <w:rFonts w:ascii="Times New Roman" w:hAnsi="Times New Roman"/>
          <w:sz w:val="24"/>
        </w:rPr>
        <w:t>）以及由此所衍生的所有股东权益转让给乙方。</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3</w:t>
      </w:r>
      <w:r w:rsidRPr="00367788">
        <w:rPr>
          <w:rFonts w:ascii="Times New Roman" w:hAnsi="Times New Roman"/>
          <w:sz w:val="24"/>
        </w:rPr>
        <w:t>、股份转让价款与支付方式</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1</w:t>
      </w:r>
      <w:r w:rsidRPr="00367788">
        <w:rPr>
          <w:rFonts w:ascii="Times New Roman" w:hAnsi="Times New Roman"/>
          <w:sz w:val="24"/>
        </w:rPr>
        <w:t>）经甲方与乙方协商一致，</w:t>
      </w:r>
      <w:bookmarkStart w:id="0" w:name="_Hlk16173914"/>
      <w:r w:rsidRPr="00367788">
        <w:rPr>
          <w:rFonts w:ascii="Times New Roman" w:hAnsi="Times New Roman"/>
          <w:sz w:val="24"/>
        </w:rPr>
        <w:t>本次标的股份每股转让价格为人民币</w:t>
      </w:r>
      <w:r w:rsidRPr="00367788">
        <w:rPr>
          <w:rFonts w:ascii="Times New Roman" w:hAnsi="Times New Roman"/>
          <w:sz w:val="24"/>
        </w:rPr>
        <w:t>10.68</w:t>
      </w:r>
      <w:r w:rsidRPr="00367788">
        <w:rPr>
          <w:rFonts w:ascii="Times New Roman" w:hAnsi="Times New Roman"/>
          <w:sz w:val="24"/>
        </w:rPr>
        <w:t>元</w:t>
      </w:r>
      <w:r w:rsidRPr="00367788">
        <w:rPr>
          <w:rFonts w:ascii="Times New Roman" w:hAnsi="Times New Roman"/>
          <w:sz w:val="24"/>
        </w:rPr>
        <w:t>/</w:t>
      </w:r>
      <w:r w:rsidRPr="00367788">
        <w:rPr>
          <w:rFonts w:ascii="Times New Roman" w:hAnsi="Times New Roman"/>
          <w:sz w:val="24"/>
        </w:rPr>
        <w:t>股</w:t>
      </w:r>
      <w:bookmarkEnd w:id="0"/>
      <w:r w:rsidRPr="00367788">
        <w:rPr>
          <w:rFonts w:ascii="Times New Roman" w:hAnsi="Times New Roman"/>
          <w:sz w:val="24"/>
        </w:rPr>
        <w:t>，甲方的股份转让价款总额为</w:t>
      </w:r>
      <w:bookmarkStart w:id="1" w:name="_Hlk16004147"/>
      <w:r w:rsidRPr="00367788">
        <w:rPr>
          <w:rFonts w:ascii="Times New Roman" w:hAnsi="Times New Roman"/>
          <w:sz w:val="24"/>
        </w:rPr>
        <w:t>人民币</w:t>
      </w:r>
      <w:r w:rsidRPr="00367788">
        <w:rPr>
          <w:rFonts w:ascii="Times New Roman" w:hAnsi="Times New Roman"/>
          <w:sz w:val="24"/>
        </w:rPr>
        <w:t>245,640,000</w:t>
      </w:r>
      <w:r w:rsidRPr="00367788">
        <w:rPr>
          <w:rFonts w:ascii="Times New Roman" w:hAnsi="Times New Roman"/>
          <w:sz w:val="24"/>
        </w:rPr>
        <w:t>元（大写：人民币</w:t>
      </w:r>
      <w:proofErr w:type="gramStart"/>
      <w:r w:rsidRPr="00367788">
        <w:rPr>
          <w:rFonts w:ascii="Times New Roman" w:hAnsi="Times New Roman"/>
          <w:sz w:val="24"/>
        </w:rPr>
        <w:t>贰亿肆仟伍佰陆拾肆万</w:t>
      </w:r>
      <w:proofErr w:type="gramEnd"/>
      <w:r w:rsidRPr="00367788">
        <w:rPr>
          <w:rFonts w:ascii="Times New Roman" w:hAnsi="Times New Roman"/>
          <w:sz w:val="24"/>
        </w:rPr>
        <w:t>元整，大小写不一致时应以大写为准）</w:t>
      </w:r>
      <w:bookmarkEnd w:id="1"/>
      <w:r w:rsidRPr="00367788">
        <w:rPr>
          <w:rFonts w:ascii="Times New Roman" w:hAnsi="Times New Roman"/>
          <w:sz w:val="24"/>
        </w:rPr>
        <w:t>。</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2</w:t>
      </w:r>
      <w:r w:rsidRPr="00367788">
        <w:rPr>
          <w:rFonts w:ascii="Times New Roman" w:hAnsi="Times New Roman"/>
          <w:sz w:val="24"/>
        </w:rPr>
        <w:t>）乙方应当于本协议签订之日起的</w:t>
      </w:r>
      <w:r w:rsidR="00576317">
        <w:rPr>
          <w:rFonts w:ascii="Times New Roman" w:hAnsi="Times New Roman" w:hint="eastAsia"/>
          <w:sz w:val="24"/>
        </w:rPr>
        <w:t>五</w:t>
      </w:r>
      <w:r w:rsidRPr="00367788">
        <w:rPr>
          <w:rFonts w:ascii="Times New Roman" w:hAnsi="Times New Roman"/>
          <w:sz w:val="24"/>
        </w:rPr>
        <w:t>个工作日内，支付给甲方转让价款总额的</w:t>
      </w:r>
      <w:r w:rsidRPr="00367788">
        <w:rPr>
          <w:rFonts w:ascii="Times New Roman" w:hAnsi="Times New Roman"/>
          <w:sz w:val="24"/>
        </w:rPr>
        <w:t>16%</w:t>
      </w:r>
      <w:r w:rsidRPr="00367788">
        <w:rPr>
          <w:rFonts w:ascii="Times New Roman" w:hAnsi="Times New Roman"/>
          <w:sz w:val="24"/>
        </w:rPr>
        <w:t>，即人民币</w:t>
      </w:r>
      <w:r w:rsidRPr="00367788">
        <w:rPr>
          <w:rFonts w:ascii="Times New Roman" w:hAnsi="Times New Roman"/>
          <w:sz w:val="24"/>
        </w:rPr>
        <w:t>39,302,400</w:t>
      </w:r>
      <w:r w:rsidRPr="00367788">
        <w:rPr>
          <w:rFonts w:ascii="Times New Roman" w:hAnsi="Times New Roman"/>
          <w:sz w:val="24"/>
        </w:rPr>
        <w:t>元（大写：人民币</w:t>
      </w:r>
      <w:proofErr w:type="gramStart"/>
      <w:r w:rsidRPr="00367788">
        <w:rPr>
          <w:rFonts w:ascii="Times New Roman" w:hAnsi="Times New Roman"/>
          <w:sz w:val="24"/>
        </w:rPr>
        <w:t>叁仟玖佰叁拾万零贰仟肆佰</w:t>
      </w:r>
      <w:proofErr w:type="gramEnd"/>
      <w:r w:rsidRPr="00367788">
        <w:rPr>
          <w:rFonts w:ascii="Times New Roman" w:hAnsi="Times New Roman"/>
          <w:sz w:val="24"/>
        </w:rPr>
        <w:t>元整，大小写金额不一致时，以大写为准），作为本次交易的定金，由乙方打入甲方的指定账户。该等款项将首先用于支付本次股份转让的所有税费，包括卖方所得税、契税等。如果税务部门书面确认或相关规定该等税费在其后的阶段缴纳，则以税务部门的意见或规定为准。</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3</w:t>
      </w:r>
      <w:r w:rsidRPr="00367788">
        <w:rPr>
          <w:rFonts w:ascii="Times New Roman" w:hAnsi="Times New Roman"/>
          <w:sz w:val="24"/>
        </w:rPr>
        <w:t>）本协议签署后，甲方应在</w:t>
      </w:r>
      <w:r w:rsidR="00576317">
        <w:rPr>
          <w:rFonts w:ascii="Times New Roman" w:hAnsi="Times New Roman" w:hint="eastAsia"/>
          <w:sz w:val="24"/>
        </w:rPr>
        <w:t>二十</w:t>
      </w:r>
      <w:r w:rsidRPr="00367788">
        <w:rPr>
          <w:rFonts w:ascii="Times New Roman" w:hAnsi="Times New Roman"/>
          <w:sz w:val="24"/>
        </w:rPr>
        <w:t>个工作日内完成办理深圳证券交易所关于本次股份转让合</w:t>
      </w:r>
      <w:proofErr w:type="gramStart"/>
      <w:r w:rsidRPr="00367788">
        <w:rPr>
          <w:rFonts w:ascii="Times New Roman" w:hAnsi="Times New Roman"/>
          <w:sz w:val="24"/>
        </w:rPr>
        <w:t>规</w:t>
      </w:r>
      <w:proofErr w:type="gramEnd"/>
      <w:r w:rsidRPr="00367788">
        <w:rPr>
          <w:rFonts w:ascii="Times New Roman" w:hAnsi="Times New Roman"/>
          <w:sz w:val="24"/>
        </w:rPr>
        <w:t>性审查。待完成深圳证券交易所出具的关于标的股份协议转让的合</w:t>
      </w:r>
      <w:proofErr w:type="gramStart"/>
      <w:r w:rsidRPr="00367788">
        <w:rPr>
          <w:rFonts w:ascii="Times New Roman" w:hAnsi="Times New Roman"/>
          <w:sz w:val="24"/>
        </w:rPr>
        <w:t>规</w:t>
      </w:r>
      <w:proofErr w:type="gramEnd"/>
      <w:r w:rsidRPr="00367788">
        <w:rPr>
          <w:rFonts w:ascii="Times New Roman" w:hAnsi="Times New Roman"/>
          <w:sz w:val="24"/>
        </w:rPr>
        <w:t>性审查后，甲方应于取得合</w:t>
      </w:r>
      <w:proofErr w:type="gramStart"/>
      <w:r w:rsidRPr="00367788">
        <w:rPr>
          <w:rFonts w:ascii="Times New Roman" w:hAnsi="Times New Roman"/>
          <w:sz w:val="24"/>
        </w:rPr>
        <w:t>规</w:t>
      </w:r>
      <w:proofErr w:type="gramEnd"/>
      <w:r w:rsidRPr="00367788">
        <w:rPr>
          <w:rFonts w:ascii="Times New Roman" w:hAnsi="Times New Roman"/>
          <w:sz w:val="24"/>
        </w:rPr>
        <w:t>性审查确认书的三个交易日内向登记机构提交申请解除标的股份质押登记的全部材料，并办理完毕标的股份解除质押手续。</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4</w:t>
      </w:r>
      <w:r w:rsidRPr="00367788">
        <w:rPr>
          <w:rFonts w:ascii="Times New Roman" w:hAnsi="Times New Roman"/>
          <w:sz w:val="24"/>
        </w:rPr>
        <w:t>）甲方为本次股份转让开立专项账户（称</w:t>
      </w:r>
      <w:r w:rsidRPr="00367788">
        <w:rPr>
          <w:rFonts w:ascii="Times New Roman" w:hAnsi="Times New Roman"/>
          <w:sz w:val="24"/>
        </w:rPr>
        <w:t>“</w:t>
      </w:r>
      <w:r w:rsidRPr="00367788">
        <w:rPr>
          <w:rFonts w:ascii="Times New Roman" w:hAnsi="Times New Roman"/>
          <w:sz w:val="24"/>
        </w:rPr>
        <w:t>监管账户</w:t>
      </w:r>
      <w:r w:rsidRPr="00367788">
        <w:rPr>
          <w:rFonts w:ascii="Times New Roman" w:hAnsi="Times New Roman"/>
          <w:sz w:val="24"/>
        </w:rPr>
        <w:t>”</w:t>
      </w:r>
      <w:r w:rsidRPr="00367788">
        <w:rPr>
          <w:rFonts w:ascii="Times New Roman" w:hAnsi="Times New Roman"/>
          <w:sz w:val="24"/>
        </w:rPr>
        <w:t>），甲方和乙方共同对该账户预留印鉴进行共同监管。在标的股份解除质押手续之日起的三个工作日内，乙方将人民币</w:t>
      </w:r>
      <w:r w:rsidRPr="00367788">
        <w:rPr>
          <w:rFonts w:ascii="Times New Roman" w:hAnsi="Times New Roman"/>
          <w:sz w:val="24"/>
        </w:rPr>
        <w:t>52,670,000</w:t>
      </w:r>
      <w:r w:rsidRPr="00367788">
        <w:rPr>
          <w:rFonts w:ascii="Times New Roman" w:hAnsi="Times New Roman"/>
          <w:sz w:val="24"/>
        </w:rPr>
        <w:t>元（大写：人民币伍仟贰佰陆拾</w:t>
      </w:r>
      <w:r w:rsidR="00DD1B94">
        <w:rPr>
          <w:rFonts w:ascii="Times New Roman" w:hAnsi="Times New Roman" w:hint="eastAsia"/>
          <w:sz w:val="24"/>
        </w:rPr>
        <w:t>柒</w:t>
      </w:r>
      <w:r w:rsidRPr="00367788">
        <w:rPr>
          <w:rFonts w:ascii="Times New Roman" w:hAnsi="Times New Roman"/>
          <w:sz w:val="24"/>
        </w:rPr>
        <w:t>万元整，大小写金额不一致时，以大写为准）支付至监管账户。</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5</w:t>
      </w:r>
      <w:r w:rsidRPr="00367788">
        <w:rPr>
          <w:rFonts w:ascii="Times New Roman" w:hAnsi="Times New Roman"/>
          <w:sz w:val="24"/>
        </w:rPr>
        <w:t>）在标的股份解除质押手续</w:t>
      </w:r>
      <w:bookmarkStart w:id="2" w:name="_Hlk18785024"/>
      <w:r w:rsidRPr="00367788">
        <w:rPr>
          <w:rFonts w:ascii="Times New Roman" w:hAnsi="Times New Roman"/>
          <w:sz w:val="24"/>
        </w:rPr>
        <w:t>且上述监管账户资金到账</w:t>
      </w:r>
      <w:bookmarkEnd w:id="2"/>
      <w:r w:rsidRPr="00367788">
        <w:rPr>
          <w:rFonts w:ascii="Times New Roman" w:hAnsi="Times New Roman"/>
          <w:sz w:val="24"/>
        </w:rPr>
        <w:t>的次日，由甲乙双方配合向证券登记结算机构共同提交标的股份过户登记申请，即将标的股份过户登记至乙方名下。在标的股份过户完成当日，甲方有权将监管账户中的股份转让</w:t>
      </w:r>
      <w:r w:rsidRPr="00367788">
        <w:rPr>
          <w:rFonts w:ascii="Times New Roman" w:hAnsi="Times New Roman"/>
          <w:sz w:val="24"/>
        </w:rPr>
        <w:lastRenderedPageBreak/>
        <w:t>款转入甲方指定账户并由甲方自由支配使用。届时，乙方前期支付的定金自动转为股份转让款的一部分并归属于甲方。</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6</w:t>
      </w:r>
      <w:r w:rsidRPr="00367788">
        <w:rPr>
          <w:rFonts w:ascii="Times New Roman" w:hAnsi="Times New Roman"/>
          <w:sz w:val="24"/>
        </w:rPr>
        <w:t>）在标的股份过户后三十日内，乙方支付给甲方股份转让款的剩余款项，即人民币</w:t>
      </w:r>
      <w:r w:rsidRPr="00367788">
        <w:rPr>
          <w:rFonts w:ascii="Times New Roman" w:hAnsi="Times New Roman"/>
          <w:sz w:val="24"/>
        </w:rPr>
        <w:t>153,667,600</w:t>
      </w:r>
      <w:r w:rsidRPr="00367788">
        <w:rPr>
          <w:rFonts w:ascii="Times New Roman" w:hAnsi="Times New Roman"/>
          <w:sz w:val="24"/>
        </w:rPr>
        <w:t>元（大写：人民币壹亿伍仟叁佰陆拾陆万柒仟陆佰元整，大小写金额不一致时，以大写为准），由乙方打入甲方指定</w:t>
      </w:r>
      <w:proofErr w:type="gramStart"/>
      <w:r w:rsidRPr="00367788">
        <w:rPr>
          <w:rFonts w:ascii="Times New Roman" w:hAnsi="Times New Roman"/>
          <w:sz w:val="24"/>
        </w:rPr>
        <w:t>帐户</w:t>
      </w:r>
      <w:proofErr w:type="gramEnd"/>
      <w:r w:rsidRPr="00367788">
        <w:rPr>
          <w:rFonts w:ascii="Times New Roman" w:hAnsi="Times New Roman"/>
          <w:sz w:val="24"/>
        </w:rPr>
        <w:t>。</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7</w:t>
      </w:r>
      <w:r w:rsidRPr="00367788">
        <w:rPr>
          <w:rFonts w:ascii="Times New Roman" w:hAnsi="Times New Roman"/>
          <w:sz w:val="24"/>
        </w:rPr>
        <w:t>）若标的股份自本协议签署日至股份过户日期间有派息、送股、资本公积金转增股本等除权、除息行为，则标的股份转让价款总额不变，股票转让价格、转让数量应按照中国证监会的规定相应调整。</w:t>
      </w:r>
    </w:p>
    <w:p w:rsidR="00D1525C" w:rsidRPr="00DF685D" w:rsidRDefault="00D1525C" w:rsidP="00D1525C">
      <w:pPr>
        <w:spacing w:line="360" w:lineRule="auto"/>
        <w:ind w:firstLineChars="200" w:firstLine="480"/>
        <w:rPr>
          <w:rFonts w:ascii="Times New Roman" w:hAnsi="Times New Roman"/>
          <w:sz w:val="24"/>
        </w:rPr>
      </w:pPr>
      <w:r w:rsidRPr="00DF685D">
        <w:rPr>
          <w:rFonts w:ascii="Times New Roman" w:hAnsi="Times New Roman" w:hint="eastAsia"/>
          <w:sz w:val="24"/>
        </w:rPr>
        <w:t>4</w:t>
      </w:r>
      <w:r w:rsidRPr="00DF685D">
        <w:rPr>
          <w:rFonts w:ascii="Times New Roman" w:hAnsi="Times New Roman" w:hint="eastAsia"/>
          <w:sz w:val="24"/>
        </w:rPr>
        <w:t>、定金条款</w:t>
      </w:r>
    </w:p>
    <w:p w:rsidR="00D1525C" w:rsidRPr="00DF685D" w:rsidRDefault="00D1525C" w:rsidP="00DF685D">
      <w:pPr>
        <w:spacing w:line="360" w:lineRule="auto"/>
        <w:ind w:firstLineChars="200" w:firstLine="480"/>
        <w:rPr>
          <w:rFonts w:ascii="Times New Roman" w:hAnsi="Times New Roman"/>
          <w:sz w:val="24"/>
        </w:rPr>
      </w:pPr>
      <w:bookmarkStart w:id="3" w:name="_Hlk18785405"/>
      <w:r w:rsidRPr="00DF685D">
        <w:rPr>
          <w:rFonts w:ascii="Times New Roman" w:hAnsi="Times New Roman" w:hint="eastAsia"/>
          <w:sz w:val="24"/>
        </w:rPr>
        <w:t>（</w:t>
      </w:r>
      <w:r w:rsidRPr="00DF685D">
        <w:rPr>
          <w:rFonts w:ascii="Times New Roman" w:hAnsi="Times New Roman" w:hint="eastAsia"/>
          <w:sz w:val="24"/>
        </w:rPr>
        <w:t>1</w:t>
      </w:r>
      <w:r w:rsidRPr="00DF685D">
        <w:rPr>
          <w:rFonts w:ascii="Times New Roman" w:hAnsi="Times New Roman" w:hint="eastAsia"/>
          <w:sz w:val="24"/>
        </w:rPr>
        <w:t>）本协议生效后，因甲方自身原因不履行本协议，甲方应双倍返还定金。</w:t>
      </w:r>
    </w:p>
    <w:p w:rsidR="00D1525C" w:rsidRPr="00DF685D" w:rsidRDefault="00D1525C" w:rsidP="00DF685D">
      <w:pPr>
        <w:spacing w:line="360" w:lineRule="auto"/>
        <w:ind w:firstLineChars="200" w:firstLine="480"/>
        <w:rPr>
          <w:rFonts w:ascii="Times New Roman" w:hAnsi="Times New Roman"/>
          <w:sz w:val="24"/>
        </w:rPr>
      </w:pPr>
      <w:r w:rsidRPr="00DF685D">
        <w:rPr>
          <w:rFonts w:ascii="Times New Roman" w:hAnsi="Times New Roman" w:hint="eastAsia"/>
          <w:sz w:val="24"/>
        </w:rPr>
        <w:t>（</w:t>
      </w:r>
      <w:r w:rsidRPr="00DF685D">
        <w:rPr>
          <w:rFonts w:ascii="Times New Roman" w:hAnsi="Times New Roman" w:hint="eastAsia"/>
          <w:sz w:val="24"/>
        </w:rPr>
        <w:t>2</w:t>
      </w:r>
      <w:r w:rsidRPr="00DF685D">
        <w:rPr>
          <w:rFonts w:ascii="Times New Roman" w:hAnsi="Times New Roman" w:hint="eastAsia"/>
          <w:sz w:val="24"/>
        </w:rPr>
        <w:t>）本协议生效后，因乙方自身原因不履行本协议，乙方所支付的定金不予退还。</w:t>
      </w:r>
    </w:p>
    <w:p w:rsidR="00D1525C" w:rsidRPr="00DF685D" w:rsidRDefault="00D1525C" w:rsidP="00DF685D">
      <w:pPr>
        <w:spacing w:line="360" w:lineRule="auto"/>
        <w:ind w:firstLineChars="200" w:firstLine="480"/>
        <w:rPr>
          <w:rFonts w:ascii="Times New Roman" w:hAnsi="Times New Roman"/>
          <w:sz w:val="24"/>
        </w:rPr>
      </w:pPr>
      <w:r w:rsidRPr="00DF685D">
        <w:rPr>
          <w:rFonts w:ascii="Times New Roman" w:hAnsi="Times New Roman" w:hint="eastAsia"/>
          <w:sz w:val="24"/>
        </w:rPr>
        <w:t>（</w:t>
      </w:r>
      <w:r w:rsidRPr="00DF685D">
        <w:rPr>
          <w:rFonts w:ascii="Times New Roman" w:hAnsi="Times New Roman" w:hint="eastAsia"/>
          <w:sz w:val="24"/>
        </w:rPr>
        <w:t>3</w:t>
      </w:r>
      <w:r w:rsidRPr="00DF685D">
        <w:rPr>
          <w:rFonts w:ascii="Times New Roman" w:hAnsi="Times New Roman" w:hint="eastAsia"/>
          <w:sz w:val="24"/>
        </w:rPr>
        <w:t>）</w:t>
      </w:r>
      <w:r w:rsidRPr="00DF685D">
        <w:rPr>
          <w:rFonts w:ascii="Times New Roman" w:hAnsi="Times New Roman"/>
          <w:sz w:val="24"/>
        </w:rPr>
        <w:t>若过户过程中，出现深圳证券交易所、证券监督管理部门等政府监管部门不允许本次转让申请的情形，甲方应将已收取的定金</w:t>
      </w:r>
      <w:r w:rsidRPr="00DF685D">
        <w:rPr>
          <w:rFonts w:ascii="Times New Roman" w:hAnsi="Times New Roman" w:hint="eastAsia"/>
          <w:sz w:val="24"/>
        </w:rPr>
        <w:t>及转让款</w:t>
      </w:r>
      <w:r w:rsidRPr="00DF685D">
        <w:rPr>
          <w:rFonts w:ascii="Times New Roman" w:hAnsi="Times New Roman"/>
          <w:sz w:val="24"/>
        </w:rPr>
        <w:t>于知晓前述情形之日起</w:t>
      </w:r>
      <w:r w:rsidRPr="00DF685D">
        <w:rPr>
          <w:rFonts w:ascii="Times New Roman" w:hAnsi="Times New Roman" w:hint="eastAsia"/>
          <w:sz w:val="24"/>
        </w:rPr>
        <w:t>3</w:t>
      </w:r>
      <w:r w:rsidRPr="00DF685D">
        <w:rPr>
          <w:rFonts w:ascii="Times New Roman" w:hAnsi="Times New Roman"/>
          <w:sz w:val="24"/>
        </w:rPr>
        <w:t>个工作日内全额无息退还乙方，双方互不承担法律责任。</w:t>
      </w:r>
      <w:bookmarkEnd w:id="3"/>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5</w:t>
      </w:r>
      <w:r w:rsidRPr="00367788">
        <w:rPr>
          <w:rFonts w:ascii="Times New Roman" w:hAnsi="Times New Roman"/>
          <w:sz w:val="24"/>
        </w:rPr>
        <w:t>、本协议的效力</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本协议经双方正式签字盖章完成后于文首所示之日生效（签署主体为自然人的须本人签字，签署主体为法人的须加盖公章和法定代表人或授权代表签字或盖章）。</w:t>
      </w:r>
    </w:p>
    <w:p w:rsidR="00412D8F" w:rsidRPr="00572CFF" w:rsidRDefault="00412D8F" w:rsidP="00572CFF">
      <w:pPr>
        <w:spacing w:beforeLines="50" w:before="156" w:afterLines="50" w:after="156" w:line="360" w:lineRule="auto"/>
        <w:ind w:firstLine="482"/>
        <w:jc w:val="left"/>
        <w:rPr>
          <w:rFonts w:ascii="Times New Roman" w:hAnsi="Times New Roman"/>
          <w:b/>
          <w:color w:val="000000"/>
          <w:kern w:val="0"/>
          <w:sz w:val="24"/>
        </w:rPr>
      </w:pPr>
      <w:r w:rsidRPr="00572CFF">
        <w:rPr>
          <w:rFonts w:ascii="Times New Roman" w:hAnsi="Times New Roman"/>
          <w:b/>
          <w:color w:val="000000"/>
          <w:kern w:val="0"/>
          <w:sz w:val="24"/>
        </w:rPr>
        <w:t>（二）</w:t>
      </w:r>
      <w:r w:rsidR="00572CFF" w:rsidRPr="00624D72">
        <w:rPr>
          <w:rFonts w:ascii="Times New Roman" w:hAnsi="Times New Roman"/>
          <w:b/>
          <w:color w:val="000000"/>
          <w:kern w:val="0"/>
          <w:sz w:val="24"/>
        </w:rPr>
        <w:t>FINSTONE AG</w:t>
      </w:r>
      <w:r w:rsidRPr="00572CFF">
        <w:rPr>
          <w:rFonts w:ascii="Times New Roman" w:hAnsi="Times New Roman"/>
          <w:b/>
          <w:color w:val="000000"/>
          <w:kern w:val="0"/>
          <w:sz w:val="24"/>
        </w:rPr>
        <w:t>与</w:t>
      </w:r>
      <w:r w:rsidR="002E738C">
        <w:rPr>
          <w:rFonts w:ascii="Times New Roman" w:hAnsi="Times New Roman" w:hint="eastAsia"/>
          <w:b/>
          <w:color w:val="000000"/>
          <w:kern w:val="0"/>
          <w:sz w:val="24"/>
        </w:rPr>
        <w:t>八大处</w:t>
      </w:r>
      <w:r w:rsidRPr="00572CFF">
        <w:rPr>
          <w:rFonts w:ascii="Times New Roman" w:hAnsi="Times New Roman"/>
          <w:b/>
          <w:color w:val="000000"/>
          <w:kern w:val="0"/>
          <w:sz w:val="24"/>
        </w:rPr>
        <w:t>签署的《股权转让协议》</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1</w:t>
      </w:r>
      <w:r w:rsidRPr="00367788">
        <w:rPr>
          <w:rFonts w:ascii="Times New Roman" w:eastAsia="宋体" w:cs="Times New Roman"/>
          <w:bCs/>
          <w:snapToGrid w:val="0"/>
          <w:color w:val="auto"/>
          <w:lang w:eastAsia="zh-CN"/>
        </w:rPr>
        <w:t>、协议签署主体</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甲方：</w:t>
      </w:r>
      <w:r w:rsidRPr="00367788">
        <w:rPr>
          <w:rFonts w:ascii="Times New Roman" w:cs="Times New Roman"/>
          <w:bCs/>
        </w:rPr>
        <w:t>FINSTONE AG</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乙方：</w:t>
      </w:r>
      <w:r w:rsidR="00A76CF8" w:rsidRPr="00A76CF8">
        <w:rPr>
          <w:rFonts w:ascii="Times New Roman" w:eastAsia="宋体" w:cs="Times New Roman" w:hint="eastAsia"/>
          <w:bCs/>
          <w:snapToGrid w:val="0"/>
          <w:color w:val="auto"/>
          <w:lang w:eastAsia="zh-CN"/>
        </w:rPr>
        <w:t>八大处科技集团有限公司</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2</w:t>
      </w:r>
      <w:r w:rsidRPr="00367788">
        <w:rPr>
          <w:rFonts w:ascii="Times New Roman" w:eastAsia="宋体" w:cs="Times New Roman"/>
          <w:bCs/>
          <w:snapToGrid w:val="0"/>
          <w:color w:val="auto"/>
          <w:lang w:eastAsia="zh-CN"/>
        </w:rPr>
        <w:t>、标的股份</w:t>
      </w:r>
    </w:p>
    <w:p w:rsidR="00412D8F" w:rsidRPr="00367788" w:rsidRDefault="00412D8F" w:rsidP="00412D8F">
      <w:pPr>
        <w:pStyle w:val="Default"/>
        <w:spacing w:line="360" w:lineRule="auto"/>
        <w:ind w:firstLineChars="196" w:firstLine="470"/>
        <w:jc w:val="both"/>
        <w:rPr>
          <w:rFonts w:ascii="Times New Roman" w:eastAsia="宋体" w:cs="Times New Roman"/>
          <w:bCs/>
          <w:snapToGrid w:val="0"/>
          <w:color w:val="auto"/>
          <w:lang w:eastAsia="zh-CN"/>
        </w:rPr>
      </w:pPr>
      <w:r w:rsidRPr="00367788">
        <w:rPr>
          <w:rFonts w:ascii="Times New Roman" w:eastAsia="宋体" w:cs="Times New Roman"/>
          <w:bCs/>
          <w:snapToGrid w:val="0"/>
          <w:color w:val="auto"/>
          <w:lang w:eastAsia="zh-CN"/>
        </w:rPr>
        <w:t>甲方同意将其持有的万里石</w:t>
      </w:r>
      <w:r w:rsidRPr="00367788">
        <w:rPr>
          <w:rFonts w:ascii="Times New Roman" w:cs="Times New Roman"/>
        </w:rPr>
        <w:t>20,050,050</w:t>
      </w:r>
      <w:r w:rsidRPr="00367788">
        <w:rPr>
          <w:rFonts w:ascii="Times New Roman" w:eastAsia="宋体" w:cs="Times New Roman"/>
          <w:bCs/>
          <w:snapToGrid w:val="0"/>
          <w:color w:val="auto"/>
          <w:lang w:eastAsia="zh-CN"/>
        </w:rPr>
        <w:t>股股份（占万里石股份总数的</w:t>
      </w:r>
      <w:r w:rsidRPr="00367788">
        <w:rPr>
          <w:rFonts w:ascii="Times New Roman" w:eastAsia="宋体" w:cs="Times New Roman"/>
          <w:bCs/>
          <w:snapToGrid w:val="0"/>
          <w:color w:val="auto"/>
          <w:lang w:eastAsia="zh-CN"/>
        </w:rPr>
        <w:t>10.0</w:t>
      </w:r>
      <w:r w:rsidR="00A42322">
        <w:rPr>
          <w:rFonts w:ascii="Times New Roman" w:eastAsia="宋体" w:cs="Times New Roman" w:hint="eastAsia"/>
          <w:bCs/>
          <w:snapToGrid w:val="0"/>
          <w:color w:val="auto"/>
          <w:lang w:eastAsia="zh-CN"/>
        </w:rPr>
        <w:t>3</w:t>
      </w:r>
      <w:r w:rsidRPr="00367788">
        <w:rPr>
          <w:rFonts w:ascii="Times New Roman" w:eastAsia="宋体" w:cs="Times New Roman"/>
          <w:bCs/>
          <w:snapToGrid w:val="0"/>
          <w:color w:val="auto"/>
          <w:lang w:eastAsia="zh-CN"/>
        </w:rPr>
        <w:t>%</w:t>
      </w:r>
      <w:r w:rsidRPr="00367788">
        <w:rPr>
          <w:rFonts w:ascii="Times New Roman" w:eastAsia="宋体" w:cs="Times New Roman"/>
          <w:bCs/>
          <w:snapToGrid w:val="0"/>
          <w:color w:val="auto"/>
          <w:lang w:eastAsia="zh-CN"/>
        </w:rPr>
        <w:t>）以及由此所衍生的所有股东权益转让给乙方。</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3</w:t>
      </w:r>
      <w:r w:rsidRPr="00367788">
        <w:rPr>
          <w:rFonts w:ascii="Times New Roman" w:hAnsi="Times New Roman"/>
          <w:sz w:val="24"/>
        </w:rPr>
        <w:t>、股份转让价款与支付方式</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1</w:t>
      </w:r>
      <w:r w:rsidRPr="00367788">
        <w:rPr>
          <w:rFonts w:ascii="Times New Roman" w:hAnsi="Times New Roman"/>
          <w:sz w:val="24"/>
        </w:rPr>
        <w:t>）经甲方与乙方协商一致，本次标的股份每股转让价格为人民币</w:t>
      </w:r>
      <w:r w:rsidRPr="00367788">
        <w:rPr>
          <w:rFonts w:ascii="Times New Roman" w:hAnsi="Times New Roman"/>
          <w:sz w:val="24"/>
        </w:rPr>
        <w:t>10.68</w:t>
      </w:r>
      <w:r w:rsidRPr="00367788">
        <w:rPr>
          <w:rFonts w:ascii="Times New Roman" w:hAnsi="Times New Roman"/>
          <w:sz w:val="24"/>
        </w:rPr>
        <w:t>元</w:t>
      </w:r>
      <w:r w:rsidRPr="00367788">
        <w:rPr>
          <w:rFonts w:ascii="Times New Roman" w:hAnsi="Times New Roman"/>
          <w:sz w:val="24"/>
        </w:rPr>
        <w:t>/</w:t>
      </w:r>
      <w:r w:rsidRPr="00367788">
        <w:rPr>
          <w:rFonts w:ascii="Times New Roman" w:hAnsi="Times New Roman"/>
          <w:sz w:val="24"/>
        </w:rPr>
        <w:t>股，甲方的股份转让价款总额为人民币</w:t>
      </w:r>
      <w:r w:rsidRPr="00367788">
        <w:rPr>
          <w:rFonts w:ascii="Times New Roman" w:hAnsi="Times New Roman"/>
          <w:sz w:val="24"/>
        </w:rPr>
        <w:t>214,134,534</w:t>
      </w:r>
      <w:r w:rsidRPr="00367788">
        <w:rPr>
          <w:rFonts w:ascii="Times New Roman" w:hAnsi="Times New Roman"/>
          <w:sz w:val="24"/>
        </w:rPr>
        <w:t>元（大写：人民币</w:t>
      </w:r>
      <w:proofErr w:type="gramStart"/>
      <w:r w:rsidRPr="00367788">
        <w:rPr>
          <w:rFonts w:ascii="Times New Roman" w:hAnsi="Times New Roman"/>
          <w:sz w:val="24"/>
        </w:rPr>
        <w:t>贰亿壹</w:t>
      </w:r>
      <w:r w:rsidRPr="00367788">
        <w:rPr>
          <w:rFonts w:ascii="Times New Roman" w:hAnsi="Times New Roman"/>
          <w:sz w:val="24"/>
        </w:rPr>
        <w:lastRenderedPageBreak/>
        <w:t>仟肆佰壹拾叁万肆仟伍佰叁拾肆</w:t>
      </w:r>
      <w:proofErr w:type="gramEnd"/>
      <w:r w:rsidRPr="00367788">
        <w:rPr>
          <w:rFonts w:ascii="Times New Roman" w:hAnsi="Times New Roman"/>
          <w:sz w:val="24"/>
        </w:rPr>
        <w:t>元整，大小写不一致时应以大写为准）。</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2</w:t>
      </w:r>
      <w:r w:rsidRPr="00367788">
        <w:rPr>
          <w:rFonts w:ascii="Times New Roman" w:hAnsi="Times New Roman"/>
          <w:sz w:val="24"/>
        </w:rPr>
        <w:t>）乙方应当于本协议签订之日起的</w:t>
      </w:r>
      <w:r w:rsidR="002307B3">
        <w:rPr>
          <w:rFonts w:ascii="Times New Roman" w:hAnsi="Times New Roman" w:hint="eastAsia"/>
          <w:sz w:val="24"/>
        </w:rPr>
        <w:t>五</w:t>
      </w:r>
      <w:r w:rsidRPr="00367788">
        <w:rPr>
          <w:rFonts w:ascii="Times New Roman" w:hAnsi="Times New Roman"/>
          <w:sz w:val="24"/>
        </w:rPr>
        <w:t>个工作日内，支付给甲方转让价款总额的</w:t>
      </w:r>
      <w:r w:rsidRPr="00367788">
        <w:rPr>
          <w:rFonts w:ascii="Times New Roman" w:hAnsi="Times New Roman"/>
          <w:sz w:val="24"/>
        </w:rPr>
        <w:t>16%</w:t>
      </w:r>
      <w:r w:rsidRPr="00367788">
        <w:rPr>
          <w:rFonts w:ascii="Times New Roman" w:hAnsi="Times New Roman"/>
          <w:sz w:val="24"/>
        </w:rPr>
        <w:t>，即人民币</w:t>
      </w:r>
      <w:r w:rsidRPr="00367788">
        <w:rPr>
          <w:rFonts w:ascii="Times New Roman" w:hAnsi="Times New Roman"/>
          <w:sz w:val="24"/>
        </w:rPr>
        <w:t>34,261,525.44</w:t>
      </w:r>
      <w:r w:rsidRPr="00367788">
        <w:rPr>
          <w:rFonts w:ascii="Times New Roman" w:hAnsi="Times New Roman"/>
          <w:sz w:val="24"/>
        </w:rPr>
        <w:t>元（大写：人民币</w:t>
      </w:r>
      <w:proofErr w:type="gramStart"/>
      <w:r w:rsidRPr="00367788">
        <w:rPr>
          <w:rFonts w:ascii="Times New Roman" w:hAnsi="Times New Roman"/>
          <w:sz w:val="24"/>
        </w:rPr>
        <w:t>叁仟肆佰贰拾陆万壹仟伍佰贰拾伍</w:t>
      </w:r>
      <w:proofErr w:type="gramEnd"/>
      <w:r w:rsidRPr="00367788">
        <w:rPr>
          <w:rFonts w:ascii="Times New Roman" w:hAnsi="Times New Roman"/>
          <w:sz w:val="24"/>
        </w:rPr>
        <w:t>元肆角肆分，大小写金额不一致时，以大写为准），作为本次交易的定金，由乙方打入甲方的指定账户。该等款项将首先用于支付本次股份转让的所有税费，包括卖方所得税、契税等。如果税务部门书面确认或相关规定该等税费在其后的阶段缴纳，则以税务部门的意见或规定为准。</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3</w:t>
      </w:r>
      <w:r w:rsidRPr="00367788">
        <w:rPr>
          <w:rFonts w:ascii="Times New Roman" w:hAnsi="Times New Roman"/>
          <w:sz w:val="24"/>
        </w:rPr>
        <w:t>）本协议签署后，甲方应在</w:t>
      </w:r>
      <w:r w:rsidR="002307B3">
        <w:rPr>
          <w:rFonts w:ascii="Times New Roman" w:hAnsi="Times New Roman" w:hint="eastAsia"/>
          <w:sz w:val="24"/>
        </w:rPr>
        <w:t>二十</w:t>
      </w:r>
      <w:r w:rsidRPr="00367788">
        <w:rPr>
          <w:rFonts w:ascii="Times New Roman" w:hAnsi="Times New Roman"/>
          <w:sz w:val="24"/>
        </w:rPr>
        <w:t>个工作日内完成办理深圳证券交易所关于本次股份转让合</w:t>
      </w:r>
      <w:proofErr w:type="gramStart"/>
      <w:r w:rsidRPr="00367788">
        <w:rPr>
          <w:rFonts w:ascii="Times New Roman" w:hAnsi="Times New Roman"/>
          <w:sz w:val="24"/>
        </w:rPr>
        <w:t>规</w:t>
      </w:r>
      <w:proofErr w:type="gramEnd"/>
      <w:r w:rsidRPr="00367788">
        <w:rPr>
          <w:rFonts w:ascii="Times New Roman" w:hAnsi="Times New Roman"/>
          <w:sz w:val="24"/>
        </w:rPr>
        <w:t>性审查。待完成深圳证券交易所出具的关于标的股份协议转让的合</w:t>
      </w:r>
      <w:proofErr w:type="gramStart"/>
      <w:r w:rsidRPr="00367788">
        <w:rPr>
          <w:rFonts w:ascii="Times New Roman" w:hAnsi="Times New Roman"/>
          <w:sz w:val="24"/>
        </w:rPr>
        <w:t>规</w:t>
      </w:r>
      <w:proofErr w:type="gramEnd"/>
      <w:r w:rsidRPr="00367788">
        <w:rPr>
          <w:rFonts w:ascii="Times New Roman" w:hAnsi="Times New Roman"/>
          <w:sz w:val="24"/>
        </w:rPr>
        <w:t>性审查后，甲方应于取得合</w:t>
      </w:r>
      <w:proofErr w:type="gramStart"/>
      <w:r w:rsidRPr="00367788">
        <w:rPr>
          <w:rFonts w:ascii="Times New Roman" w:hAnsi="Times New Roman"/>
          <w:sz w:val="24"/>
        </w:rPr>
        <w:t>规</w:t>
      </w:r>
      <w:proofErr w:type="gramEnd"/>
      <w:r w:rsidRPr="00367788">
        <w:rPr>
          <w:rFonts w:ascii="Times New Roman" w:hAnsi="Times New Roman"/>
          <w:sz w:val="24"/>
        </w:rPr>
        <w:t>性审查确认书的三个交易日内向登记机构提交申请解除标的股份质押登记的全部材料，并办理完毕标的股份解除质押手续。</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4</w:t>
      </w:r>
      <w:r w:rsidRPr="00367788">
        <w:rPr>
          <w:rFonts w:ascii="Times New Roman" w:hAnsi="Times New Roman"/>
          <w:sz w:val="24"/>
        </w:rPr>
        <w:t>）甲方为本次股份转让开立专项账户（称</w:t>
      </w:r>
      <w:r w:rsidRPr="00367788">
        <w:rPr>
          <w:rFonts w:ascii="Times New Roman" w:hAnsi="Times New Roman"/>
          <w:sz w:val="24"/>
        </w:rPr>
        <w:t>“</w:t>
      </w:r>
      <w:r w:rsidRPr="00367788">
        <w:rPr>
          <w:rFonts w:ascii="Times New Roman" w:hAnsi="Times New Roman"/>
          <w:sz w:val="24"/>
        </w:rPr>
        <w:t>监管账户</w:t>
      </w:r>
      <w:r w:rsidRPr="00367788">
        <w:rPr>
          <w:rFonts w:ascii="Times New Roman" w:hAnsi="Times New Roman"/>
          <w:sz w:val="24"/>
        </w:rPr>
        <w:t>”</w:t>
      </w:r>
      <w:r w:rsidRPr="00367788">
        <w:rPr>
          <w:rFonts w:ascii="Times New Roman" w:hAnsi="Times New Roman"/>
          <w:sz w:val="24"/>
        </w:rPr>
        <w:t>），甲方和乙方共同对该账户预留印鉴进行共同监管。在标的股份解除质押手续之日起的三个工作日内，乙方将人民币</w:t>
      </w:r>
      <w:r w:rsidRPr="00367788">
        <w:rPr>
          <w:rFonts w:ascii="Times New Roman" w:hAnsi="Times New Roman"/>
          <w:sz w:val="24"/>
        </w:rPr>
        <w:t>158,459,555.16</w:t>
      </w:r>
      <w:r w:rsidRPr="00367788">
        <w:rPr>
          <w:rFonts w:ascii="Times New Roman" w:hAnsi="Times New Roman"/>
          <w:sz w:val="24"/>
        </w:rPr>
        <w:t>元（大写：人民币</w:t>
      </w:r>
      <w:proofErr w:type="gramStart"/>
      <w:r w:rsidRPr="00367788">
        <w:rPr>
          <w:rFonts w:ascii="Times New Roman" w:hAnsi="Times New Roman"/>
          <w:sz w:val="24"/>
        </w:rPr>
        <w:t>壹亿伍仟捌佰肆拾伍万玖仟伍佰伍拾伍</w:t>
      </w:r>
      <w:proofErr w:type="gramEnd"/>
      <w:r w:rsidRPr="00367788">
        <w:rPr>
          <w:rFonts w:ascii="Times New Roman" w:hAnsi="Times New Roman"/>
          <w:sz w:val="24"/>
        </w:rPr>
        <w:t>元壹角陆分，大小写金额不一致时，以大写为准）支付至监管账户。</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5</w:t>
      </w:r>
      <w:r w:rsidRPr="00367788">
        <w:rPr>
          <w:rFonts w:ascii="Times New Roman" w:hAnsi="Times New Roman"/>
          <w:sz w:val="24"/>
        </w:rPr>
        <w:t>）在标的股份解除质押手续且上述监管账户资金到账的次日，由甲乙双方配合向证券登记结算机构共同提交标的股份过户登记申请，即将标的股份过户登记至乙方名下。在标的股份过户完成当日，甲方有权将监管账户中的股份转让款转入甲方指定账户并由甲方自由支配使用。届时，乙方前期支付的定金自动转为股份转让款的一部分并归属于甲方。</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6</w:t>
      </w:r>
      <w:r w:rsidRPr="00367788">
        <w:rPr>
          <w:rFonts w:ascii="Times New Roman" w:hAnsi="Times New Roman"/>
          <w:sz w:val="24"/>
        </w:rPr>
        <w:t>）在标的股份过户后三十日内，乙方支付给甲方转让价款剩余款项，即人民币</w:t>
      </w:r>
      <w:r w:rsidRPr="00367788">
        <w:rPr>
          <w:rFonts w:ascii="Times New Roman" w:hAnsi="Times New Roman"/>
          <w:sz w:val="24"/>
        </w:rPr>
        <w:t>21,413,453.40</w:t>
      </w:r>
      <w:r w:rsidRPr="00367788">
        <w:rPr>
          <w:rFonts w:ascii="Times New Roman" w:hAnsi="Times New Roman"/>
          <w:sz w:val="24"/>
        </w:rPr>
        <w:t>元（大写：人民币</w:t>
      </w:r>
      <w:proofErr w:type="gramStart"/>
      <w:r w:rsidRPr="00367788">
        <w:rPr>
          <w:rFonts w:ascii="Times New Roman" w:hAnsi="Times New Roman"/>
          <w:sz w:val="24"/>
        </w:rPr>
        <w:t>贰仟壹佰肆拾壹万叁仟肆佰伍拾叁</w:t>
      </w:r>
      <w:proofErr w:type="gramEnd"/>
      <w:r w:rsidRPr="00367788">
        <w:rPr>
          <w:rFonts w:ascii="Times New Roman" w:hAnsi="Times New Roman"/>
          <w:sz w:val="24"/>
        </w:rPr>
        <w:t>元肆角整，大小写金额不一致时以大写为准），由乙方打入甲方指定</w:t>
      </w:r>
      <w:proofErr w:type="gramStart"/>
      <w:r w:rsidRPr="00367788">
        <w:rPr>
          <w:rFonts w:ascii="Times New Roman" w:hAnsi="Times New Roman"/>
          <w:sz w:val="24"/>
        </w:rPr>
        <w:t>帐户</w:t>
      </w:r>
      <w:proofErr w:type="gramEnd"/>
      <w:r w:rsidRPr="00367788">
        <w:rPr>
          <w:rFonts w:ascii="Times New Roman" w:hAnsi="Times New Roman"/>
          <w:sz w:val="24"/>
        </w:rPr>
        <w:t>。</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w:t>
      </w:r>
      <w:r w:rsidRPr="00367788">
        <w:rPr>
          <w:rFonts w:ascii="Times New Roman" w:hAnsi="Times New Roman"/>
          <w:sz w:val="24"/>
        </w:rPr>
        <w:t>7</w:t>
      </w:r>
      <w:r w:rsidRPr="00367788">
        <w:rPr>
          <w:rFonts w:ascii="Times New Roman" w:hAnsi="Times New Roman"/>
          <w:sz w:val="24"/>
        </w:rPr>
        <w:t>）若标的股份自本协议签署日至股份过户日期间有派息、送股、资本公积金转增股本等除权、除息行为，则标的股份转让价款总额不变，股票转让价格、转让数量应按照中国证监会的规定相应调整。</w:t>
      </w:r>
    </w:p>
    <w:p w:rsidR="00EA702E" w:rsidRPr="00251EE8" w:rsidRDefault="00EA702E" w:rsidP="00EA702E">
      <w:pPr>
        <w:spacing w:line="360" w:lineRule="auto"/>
        <w:ind w:firstLineChars="200" w:firstLine="480"/>
        <w:rPr>
          <w:rFonts w:ascii="Times New Roman" w:hAnsi="Times New Roman"/>
          <w:sz w:val="24"/>
        </w:rPr>
      </w:pPr>
      <w:r w:rsidRPr="00251EE8">
        <w:rPr>
          <w:rFonts w:ascii="Times New Roman" w:hAnsi="Times New Roman"/>
          <w:sz w:val="24"/>
        </w:rPr>
        <w:t>4</w:t>
      </w:r>
      <w:r w:rsidRPr="00251EE8">
        <w:rPr>
          <w:rFonts w:ascii="Times New Roman" w:hAnsi="Times New Roman"/>
          <w:sz w:val="24"/>
        </w:rPr>
        <w:t>、定金条款</w:t>
      </w:r>
    </w:p>
    <w:p w:rsidR="00EA702E" w:rsidRPr="004A1D47" w:rsidRDefault="00EA702E" w:rsidP="00EA702E">
      <w:pPr>
        <w:pStyle w:val="1"/>
        <w:spacing w:beforeLines="50" w:before="156" w:afterLines="50" w:after="156" w:line="360" w:lineRule="auto"/>
        <w:ind w:left="480" w:firstLineChars="0" w:firstLine="0"/>
        <w:rPr>
          <w:sz w:val="24"/>
          <w:szCs w:val="24"/>
        </w:rPr>
      </w:pPr>
      <w:r>
        <w:rPr>
          <w:rFonts w:hint="eastAsia"/>
          <w:sz w:val="24"/>
          <w:szCs w:val="24"/>
        </w:rPr>
        <w:t>（</w:t>
      </w:r>
      <w:r>
        <w:rPr>
          <w:rFonts w:hint="eastAsia"/>
          <w:sz w:val="24"/>
          <w:szCs w:val="24"/>
        </w:rPr>
        <w:t>1</w:t>
      </w:r>
      <w:r>
        <w:rPr>
          <w:rFonts w:hint="eastAsia"/>
          <w:sz w:val="24"/>
          <w:szCs w:val="24"/>
        </w:rPr>
        <w:t>）</w:t>
      </w:r>
      <w:r w:rsidRPr="004A1D47">
        <w:rPr>
          <w:rFonts w:hint="eastAsia"/>
          <w:sz w:val="24"/>
          <w:szCs w:val="24"/>
        </w:rPr>
        <w:t>本协议生效后，因甲方自身原因不履行本协议，甲方应双倍返还定金。</w:t>
      </w:r>
    </w:p>
    <w:p w:rsidR="00EA702E" w:rsidRPr="004A1D47" w:rsidRDefault="00EA702E" w:rsidP="00EA702E">
      <w:pPr>
        <w:pStyle w:val="1"/>
        <w:spacing w:beforeLines="50" w:before="156" w:afterLines="50" w:after="156" w:line="360" w:lineRule="auto"/>
        <w:ind w:firstLineChars="0"/>
        <w:rPr>
          <w:sz w:val="24"/>
          <w:szCs w:val="24"/>
        </w:rPr>
      </w:pPr>
      <w:r>
        <w:rPr>
          <w:rFonts w:hint="eastAsia"/>
          <w:sz w:val="24"/>
          <w:szCs w:val="24"/>
        </w:rPr>
        <w:t>（</w:t>
      </w:r>
      <w:r>
        <w:rPr>
          <w:rFonts w:hint="eastAsia"/>
          <w:sz w:val="24"/>
          <w:szCs w:val="24"/>
        </w:rPr>
        <w:t>2</w:t>
      </w:r>
      <w:r>
        <w:rPr>
          <w:rFonts w:hint="eastAsia"/>
          <w:sz w:val="24"/>
          <w:szCs w:val="24"/>
        </w:rPr>
        <w:t>）</w:t>
      </w:r>
      <w:r w:rsidRPr="004A1D47">
        <w:rPr>
          <w:rFonts w:hint="eastAsia"/>
          <w:sz w:val="24"/>
          <w:szCs w:val="24"/>
        </w:rPr>
        <w:t>本协议生效后，因乙方自身原因不履行本协议，乙方所支付的定金不</w:t>
      </w:r>
      <w:r w:rsidRPr="004A1D47">
        <w:rPr>
          <w:rFonts w:hint="eastAsia"/>
          <w:sz w:val="24"/>
          <w:szCs w:val="24"/>
        </w:rPr>
        <w:lastRenderedPageBreak/>
        <w:t>予退还。</w:t>
      </w:r>
    </w:p>
    <w:p w:rsidR="00EA702E" w:rsidRDefault="00EA702E" w:rsidP="00EA702E">
      <w:pPr>
        <w:pStyle w:val="1"/>
        <w:spacing w:beforeLines="50" w:before="156" w:afterLines="50" w:after="156" w:line="360" w:lineRule="auto"/>
        <w:ind w:firstLineChars="0"/>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若过户过程中，出现深圳证券交易所、证券监督管理部门等政府监管部门不允许本次转让申请的情形，甲方应将已收取的定金</w:t>
      </w:r>
      <w:r>
        <w:rPr>
          <w:rFonts w:hint="eastAsia"/>
          <w:sz w:val="24"/>
          <w:szCs w:val="24"/>
        </w:rPr>
        <w:t>及转让款</w:t>
      </w:r>
      <w:r>
        <w:rPr>
          <w:sz w:val="24"/>
          <w:szCs w:val="24"/>
        </w:rPr>
        <w:t>于知晓前述情形之日起</w:t>
      </w:r>
      <w:r>
        <w:rPr>
          <w:rFonts w:hint="eastAsia"/>
          <w:sz w:val="24"/>
          <w:szCs w:val="24"/>
        </w:rPr>
        <w:t>3</w:t>
      </w:r>
      <w:r>
        <w:rPr>
          <w:sz w:val="24"/>
          <w:szCs w:val="24"/>
        </w:rPr>
        <w:t>个工作日内全额无息退还乙方，双方互不承担法律责任。</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5</w:t>
      </w:r>
      <w:r w:rsidRPr="00367788">
        <w:rPr>
          <w:rFonts w:ascii="Times New Roman" w:hAnsi="Times New Roman"/>
          <w:sz w:val="24"/>
        </w:rPr>
        <w:t>、本协议的效力</w:t>
      </w:r>
    </w:p>
    <w:p w:rsidR="00412D8F" w:rsidRPr="00367788" w:rsidRDefault="00412D8F" w:rsidP="00412D8F">
      <w:pPr>
        <w:spacing w:line="360" w:lineRule="auto"/>
        <w:ind w:firstLineChars="200" w:firstLine="480"/>
        <w:rPr>
          <w:rFonts w:ascii="Times New Roman" w:hAnsi="Times New Roman"/>
          <w:sz w:val="24"/>
        </w:rPr>
      </w:pPr>
      <w:r w:rsidRPr="00367788">
        <w:rPr>
          <w:rFonts w:ascii="Times New Roman" w:hAnsi="Times New Roman"/>
          <w:sz w:val="24"/>
        </w:rPr>
        <w:t>本协议经双方正式签字盖章完成后于文首所示之日生效（签署主体为自然人的须本人签字，签署主体为法人的须加盖公章和法定代表人或授权代表签字或盖章）。</w:t>
      </w:r>
    </w:p>
    <w:p w:rsidR="00F416CA" w:rsidRPr="00B2766A" w:rsidRDefault="00973868" w:rsidP="00B2766A">
      <w:pPr>
        <w:spacing w:beforeLines="50" w:before="156" w:afterLines="50" w:after="156" w:line="360" w:lineRule="auto"/>
        <w:ind w:firstLine="482"/>
        <w:jc w:val="left"/>
        <w:rPr>
          <w:rFonts w:ascii="Times New Roman" w:hAnsi="Times New Roman"/>
          <w:b/>
          <w:color w:val="000000"/>
          <w:kern w:val="0"/>
          <w:sz w:val="24"/>
        </w:rPr>
      </w:pPr>
      <w:r>
        <w:rPr>
          <w:rFonts w:ascii="Times New Roman" w:hAnsi="Times New Roman" w:hint="eastAsia"/>
          <w:b/>
          <w:color w:val="000000"/>
          <w:kern w:val="0"/>
          <w:sz w:val="24"/>
        </w:rPr>
        <w:t>四</w:t>
      </w:r>
      <w:r w:rsidR="00F416CA" w:rsidRPr="00B2766A">
        <w:rPr>
          <w:rFonts w:ascii="Times New Roman" w:hAnsi="Times New Roman"/>
          <w:b/>
          <w:color w:val="000000"/>
          <w:kern w:val="0"/>
          <w:sz w:val="24"/>
        </w:rPr>
        <w:t>、</w:t>
      </w:r>
      <w:r w:rsidR="00F416CA" w:rsidRPr="00B2766A">
        <w:rPr>
          <w:rFonts w:ascii="Times New Roman" w:hAnsi="Times New Roman" w:hint="eastAsia"/>
          <w:b/>
          <w:color w:val="000000"/>
          <w:kern w:val="0"/>
          <w:sz w:val="24"/>
        </w:rPr>
        <w:t>本次权益变动对上市公司的影响</w:t>
      </w:r>
    </w:p>
    <w:p w:rsidR="00F416CA" w:rsidRPr="00ED4933" w:rsidRDefault="00F416CA" w:rsidP="00F416CA">
      <w:pPr>
        <w:pStyle w:val="Default"/>
        <w:spacing w:line="360" w:lineRule="auto"/>
        <w:ind w:firstLineChars="196" w:firstLine="470"/>
        <w:jc w:val="both"/>
        <w:rPr>
          <w:rFonts w:ascii="Times New Roman" w:eastAsia="宋体" w:cs="Times New Roman"/>
          <w:bCs/>
          <w:snapToGrid w:val="0"/>
          <w:color w:val="auto"/>
          <w:lang w:eastAsia="zh-CN"/>
        </w:rPr>
      </w:pPr>
      <w:bookmarkStart w:id="4" w:name="_Hlk18763332"/>
      <w:r w:rsidRPr="00E43DA7">
        <w:rPr>
          <w:rFonts w:ascii="Times New Roman" w:eastAsia="宋体" w:cs="Times New Roman" w:hint="eastAsia"/>
          <w:bCs/>
          <w:snapToGrid w:val="0"/>
          <w:color w:val="auto"/>
          <w:lang w:eastAsia="zh-CN"/>
        </w:rPr>
        <w:t>本次权益变动完成后，</w:t>
      </w:r>
      <w:r w:rsidR="00D21B7C" w:rsidRPr="0016135A">
        <w:rPr>
          <w:rFonts w:ascii="Times New Roman" w:hint="eastAsia"/>
        </w:rPr>
        <w:t>FINSTONE AG</w:t>
      </w:r>
      <w:r w:rsidRPr="00E43DA7">
        <w:rPr>
          <w:rFonts w:ascii="Times New Roman" w:eastAsia="宋体" w:cs="Times New Roman" w:hint="eastAsia"/>
          <w:bCs/>
          <w:snapToGrid w:val="0"/>
          <w:color w:val="auto"/>
          <w:lang w:eastAsia="zh-CN"/>
        </w:rPr>
        <w:t>将不再持有公司股份，</w:t>
      </w:r>
      <w:r>
        <w:rPr>
          <w:rFonts w:ascii="Times New Roman" w:eastAsia="宋体" w:cs="Times New Roman" w:hint="eastAsia"/>
          <w:bCs/>
          <w:snapToGrid w:val="0"/>
          <w:color w:val="auto"/>
          <w:lang w:eastAsia="zh-CN"/>
        </w:rPr>
        <w:t>金麟四海</w:t>
      </w:r>
      <w:r w:rsidRPr="00E43DA7">
        <w:rPr>
          <w:rFonts w:ascii="Times New Roman" w:eastAsia="宋体" w:cs="Times New Roman" w:hint="eastAsia"/>
          <w:bCs/>
          <w:snapToGrid w:val="0"/>
          <w:color w:val="auto"/>
          <w:lang w:eastAsia="zh-CN"/>
        </w:rPr>
        <w:t>、</w:t>
      </w:r>
      <w:r w:rsidR="002F54E3">
        <w:rPr>
          <w:rFonts w:ascii="宋体" w:eastAsia="宋体" w:hAnsi="宋体" w:hint="eastAsia"/>
          <w:bCs/>
          <w:snapToGrid w:val="0"/>
          <w:color w:val="auto"/>
          <w:lang w:eastAsia="zh-CN"/>
        </w:rPr>
        <w:t>八大处</w:t>
      </w:r>
      <w:r w:rsidRPr="00E43DA7">
        <w:rPr>
          <w:rFonts w:ascii="Times New Roman" w:eastAsia="宋体" w:cs="Times New Roman" w:hint="eastAsia"/>
          <w:bCs/>
          <w:snapToGrid w:val="0"/>
          <w:color w:val="auto"/>
          <w:lang w:eastAsia="zh-CN"/>
        </w:rPr>
        <w:t>将成为</w:t>
      </w:r>
      <w:r>
        <w:rPr>
          <w:rFonts w:ascii="Times New Roman" w:eastAsia="宋体" w:cs="Times New Roman" w:hint="eastAsia"/>
          <w:bCs/>
          <w:snapToGrid w:val="0"/>
          <w:color w:val="auto"/>
          <w:lang w:eastAsia="zh-CN"/>
        </w:rPr>
        <w:t>上市</w:t>
      </w:r>
      <w:r w:rsidRPr="00E43DA7">
        <w:rPr>
          <w:rFonts w:ascii="Times New Roman" w:eastAsia="宋体" w:cs="Times New Roman" w:hint="eastAsia"/>
          <w:bCs/>
          <w:snapToGrid w:val="0"/>
          <w:color w:val="auto"/>
          <w:lang w:eastAsia="zh-CN"/>
        </w:rPr>
        <w:t>公司持股</w:t>
      </w:r>
      <w:r w:rsidRPr="00E43DA7">
        <w:rPr>
          <w:rFonts w:ascii="Times New Roman" w:eastAsia="宋体" w:cs="Times New Roman"/>
          <w:bCs/>
          <w:snapToGrid w:val="0"/>
          <w:color w:val="auto"/>
          <w:lang w:eastAsia="zh-CN"/>
        </w:rPr>
        <w:t>5%</w:t>
      </w:r>
      <w:r w:rsidRPr="00E43DA7">
        <w:rPr>
          <w:rFonts w:ascii="Times New Roman" w:eastAsia="宋体" w:cs="Times New Roman" w:hint="eastAsia"/>
          <w:bCs/>
          <w:snapToGrid w:val="0"/>
          <w:color w:val="auto"/>
          <w:lang w:eastAsia="zh-CN"/>
        </w:rPr>
        <w:t>以上股东，鉴于</w:t>
      </w:r>
      <w:r>
        <w:rPr>
          <w:rFonts w:ascii="Times New Roman" w:eastAsia="宋体" w:cs="Times New Roman" w:hint="eastAsia"/>
          <w:bCs/>
          <w:snapToGrid w:val="0"/>
          <w:color w:val="auto"/>
          <w:lang w:eastAsia="zh-CN"/>
        </w:rPr>
        <w:t>上市</w:t>
      </w:r>
      <w:r w:rsidRPr="00E43DA7">
        <w:rPr>
          <w:rFonts w:ascii="Times New Roman" w:eastAsia="宋体" w:cs="Times New Roman" w:hint="eastAsia"/>
          <w:bCs/>
          <w:snapToGrid w:val="0"/>
          <w:color w:val="auto"/>
          <w:lang w:eastAsia="zh-CN"/>
        </w:rPr>
        <w:t>公司目前无控股股东</w:t>
      </w:r>
      <w:r w:rsidR="00DA364A">
        <w:rPr>
          <w:rFonts w:ascii="Times New Roman" w:eastAsia="宋体" w:cs="Times New Roman" w:hint="eastAsia"/>
          <w:bCs/>
          <w:snapToGrid w:val="0"/>
          <w:color w:val="auto"/>
          <w:lang w:eastAsia="zh-CN"/>
        </w:rPr>
        <w:t>和</w:t>
      </w:r>
      <w:r w:rsidRPr="00E43DA7">
        <w:rPr>
          <w:rFonts w:ascii="Times New Roman" w:eastAsia="宋体" w:cs="Times New Roman" w:hint="eastAsia"/>
          <w:bCs/>
          <w:snapToGrid w:val="0"/>
          <w:color w:val="auto"/>
          <w:lang w:eastAsia="zh-CN"/>
        </w:rPr>
        <w:t>实际控制人</w:t>
      </w:r>
      <w:r>
        <w:rPr>
          <w:rFonts w:ascii="Times New Roman" w:eastAsia="宋体" w:cs="Times New Roman" w:hint="eastAsia"/>
          <w:bCs/>
          <w:snapToGrid w:val="0"/>
          <w:color w:val="auto"/>
          <w:lang w:eastAsia="zh-CN"/>
        </w:rPr>
        <w:t>。</w:t>
      </w:r>
      <w:r w:rsidRPr="00E43DA7">
        <w:rPr>
          <w:rFonts w:ascii="Times New Roman" w:eastAsia="宋体" w:cs="Times New Roman" w:hint="eastAsia"/>
          <w:bCs/>
          <w:snapToGrid w:val="0"/>
          <w:color w:val="auto"/>
          <w:lang w:eastAsia="zh-CN"/>
        </w:rPr>
        <w:t>本次权益变动</w:t>
      </w:r>
      <w:r>
        <w:rPr>
          <w:rFonts w:ascii="Times New Roman" w:eastAsia="宋体" w:cs="Times New Roman" w:hint="eastAsia"/>
          <w:bCs/>
          <w:snapToGrid w:val="0"/>
          <w:color w:val="auto"/>
          <w:lang w:eastAsia="zh-CN"/>
        </w:rPr>
        <w:t>后，上市公司仍然处于</w:t>
      </w:r>
      <w:r w:rsidRPr="00E43DA7">
        <w:rPr>
          <w:rFonts w:ascii="Times New Roman" w:eastAsia="宋体" w:cs="Times New Roman" w:hint="eastAsia"/>
          <w:bCs/>
          <w:snapToGrid w:val="0"/>
          <w:color w:val="auto"/>
          <w:lang w:eastAsia="zh-CN"/>
        </w:rPr>
        <w:t>无控股股东</w:t>
      </w:r>
      <w:r>
        <w:rPr>
          <w:rFonts w:ascii="Times New Roman" w:eastAsia="宋体" w:cs="Times New Roman" w:hint="eastAsia"/>
          <w:bCs/>
          <w:snapToGrid w:val="0"/>
          <w:color w:val="auto"/>
          <w:lang w:eastAsia="zh-CN"/>
        </w:rPr>
        <w:t>和</w:t>
      </w:r>
      <w:r w:rsidRPr="00E43DA7">
        <w:rPr>
          <w:rFonts w:ascii="Times New Roman" w:eastAsia="宋体" w:cs="Times New Roman" w:hint="eastAsia"/>
          <w:bCs/>
          <w:snapToGrid w:val="0"/>
          <w:color w:val="auto"/>
          <w:lang w:eastAsia="zh-CN"/>
        </w:rPr>
        <w:t>实际控制人</w:t>
      </w:r>
      <w:r>
        <w:rPr>
          <w:rFonts w:ascii="Times New Roman" w:eastAsia="宋体" w:cs="Times New Roman" w:hint="eastAsia"/>
          <w:bCs/>
          <w:snapToGrid w:val="0"/>
          <w:color w:val="auto"/>
          <w:lang w:eastAsia="zh-CN"/>
        </w:rPr>
        <w:t>状态，本次权益变动</w:t>
      </w:r>
      <w:r w:rsidRPr="00E43DA7">
        <w:rPr>
          <w:rFonts w:ascii="Times New Roman" w:eastAsia="宋体" w:cs="Times New Roman" w:hint="eastAsia"/>
          <w:bCs/>
          <w:snapToGrid w:val="0"/>
          <w:color w:val="auto"/>
          <w:lang w:eastAsia="zh-CN"/>
        </w:rPr>
        <w:t>不会对</w:t>
      </w:r>
      <w:r>
        <w:rPr>
          <w:rFonts w:ascii="Times New Roman" w:eastAsia="宋体" w:cs="Times New Roman" w:hint="eastAsia"/>
          <w:bCs/>
          <w:snapToGrid w:val="0"/>
          <w:color w:val="auto"/>
          <w:lang w:eastAsia="zh-CN"/>
        </w:rPr>
        <w:t>上市</w:t>
      </w:r>
      <w:r w:rsidRPr="00E43DA7">
        <w:rPr>
          <w:rFonts w:ascii="Times New Roman" w:eastAsia="宋体" w:cs="Times New Roman" w:hint="eastAsia"/>
          <w:bCs/>
          <w:snapToGrid w:val="0"/>
          <w:color w:val="auto"/>
          <w:lang w:eastAsia="zh-CN"/>
        </w:rPr>
        <w:t>公司治理结构及持续经营产生影响。</w:t>
      </w:r>
    </w:p>
    <w:bookmarkEnd w:id="4"/>
    <w:p w:rsidR="006B5E7B" w:rsidRDefault="00973868" w:rsidP="00E177DC">
      <w:pPr>
        <w:spacing w:beforeLines="50" w:before="156" w:afterLines="50" w:after="156" w:line="360" w:lineRule="auto"/>
        <w:ind w:firstLine="482"/>
        <w:jc w:val="left"/>
        <w:rPr>
          <w:rFonts w:ascii="Times New Roman" w:hAnsi="Times New Roman"/>
          <w:b/>
          <w:color w:val="000000"/>
          <w:kern w:val="0"/>
          <w:sz w:val="24"/>
        </w:rPr>
      </w:pPr>
      <w:r>
        <w:rPr>
          <w:rFonts w:ascii="Times New Roman" w:hAnsi="Times New Roman" w:hint="eastAsia"/>
          <w:b/>
          <w:color w:val="000000"/>
          <w:kern w:val="0"/>
          <w:sz w:val="24"/>
        </w:rPr>
        <w:t>五</w:t>
      </w:r>
      <w:r w:rsidR="00195808">
        <w:rPr>
          <w:rFonts w:ascii="Times New Roman" w:hAnsi="Times New Roman" w:hint="eastAsia"/>
          <w:b/>
          <w:color w:val="000000"/>
          <w:kern w:val="0"/>
          <w:sz w:val="24"/>
        </w:rPr>
        <w:t>、履行承诺情况</w:t>
      </w:r>
    </w:p>
    <w:p w:rsidR="0094405F" w:rsidRDefault="0033362C" w:rsidP="0094405F">
      <w:pPr>
        <w:pStyle w:val="Default"/>
        <w:spacing w:line="360" w:lineRule="auto"/>
        <w:ind w:firstLineChars="196" w:firstLine="470"/>
        <w:jc w:val="both"/>
        <w:rPr>
          <w:rFonts w:ascii="Times New Roman" w:eastAsia="宋体" w:cs="Times New Roman"/>
          <w:bCs/>
          <w:snapToGrid w:val="0"/>
          <w:color w:val="auto"/>
          <w:lang w:eastAsia="zh-CN"/>
        </w:rPr>
      </w:pPr>
      <w:r w:rsidRPr="0016135A">
        <w:rPr>
          <w:rFonts w:ascii="Times New Roman" w:hint="eastAsia"/>
        </w:rPr>
        <w:t>FINSTONE AG</w:t>
      </w:r>
      <w:r w:rsidR="0094405F">
        <w:rPr>
          <w:rFonts w:ascii="Times New Roman" w:eastAsia="宋体" w:cs="Times New Roman" w:hint="eastAsia"/>
          <w:bCs/>
          <w:snapToGrid w:val="0"/>
          <w:color w:val="auto"/>
          <w:lang w:eastAsia="zh-CN"/>
        </w:rPr>
        <w:t>在上市公司首次公开发行披露的《招股说明书》中承诺：“</w:t>
      </w:r>
      <w:r w:rsidR="0094405F" w:rsidRPr="004A30C0">
        <w:rPr>
          <w:rFonts w:ascii="Times New Roman" w:eastAsia="宋体" w:cs="Times New Roman" w:hint="eastAsia"/>
          <w:bCs/>
          <w:snapToGrid w:val="0"/>
          <w:color w:val="auto"/>
          <w:lang w:eastAsia="zh-CN"/>
        </w:rPr>
        <w:t>自发行人股票上市之日起三十六个月内，不转让或者委托他人管理本公司所直接或间接持有的发行人公开发行股票前已发行的股份</w:t>
      </w:r>
      <w:r w:rsidR="0094405F" w:rsidRPr="004A30C0">
        <w:rPr>
          <w:rFonts w:ascii="Times New Roman" w:eastAsia="宋体" w:cs="Times New Roman"/>
          <w:bCs/>
          <w:snapToGrid w:val="0"/>
          <w:color w:val="auto"/>
          <w:lang w:eastAsia="zh-CN"/>
        </w:rPr>
        <w:t>,</w:t>
      </w:r>
      <w:r w:rsidR="0094405F" w:rsidRPr="004A30C0">
        <w:rPr>
          <w:rFonts w:ascii="Times New Roman" w:eastAsia="宋体" w:cs="Times New Roman" w:hint="eastAsia"/>
          <w:bCs/>
          <w:snapToGrid w:val="0"/>
          <w:color w:val="auto"/>
          <w:lang w:eastAsia="zh-CN"/>
        </w:rPr>
        <w:t>也不由发行人回购该部分股份。本公司将所持有的发行人股票在上述锁定期限届满后两年内减持时，减持价格不低于发行价。发行人上市后六个月内如其股票连续二十个交易日的收盘价均低于发行价，或者上市后六个月期末收盘价低于发行价，本公司持有的发行人股票的上述锁定期自动延长六个月。</w:t>
      </w:r>
      <w:r w:rsidR="0094405F">
        <w:rPr>
          <w:rFonts w:ascii="Times New Roman" w:eastAsia="宋体" w:cs="Times New Roman" w:hint="eastAsia"/>
          <w:bCs/>
          <w:snapToGrid w:val="0"/>
          <w:color w:val="auto"/>
          <w:lang w:eastAsia="zh-CN"/>
        </w:rPr>
        <w:t>”</w:t>
      </w:r>
    </w:p>
    <w:p w:rsidR="0094405F" w:rsidRPr="00CD5B84" w:rsidRDefault="0094405F" w:rsidP="0094405F">
      <w:pPr>
        <w:pStyle w:val="Default"/>
        <w:spacing w:line="360" w:lineRule="auto"/>
        <w:ind w:firstLineChars="196" w:firstLine="470"/>
        <w:jc w:val="both"/>
        <w:rPr>
          <w:rFonts w:ascii="Times New Roman" w:eastAsia="宋体" w:cs="Times New Roman"/>
          <w:bCs/>
          <w:snapToGrid w:val="0"/>
          <w:color w:val="auto"/>
          <w:lang w:eastAsia="zh-CN"/>
        </w:rPr>
      </w:pPr>
      <w:r w:rsidRPr="00CD5B84">
        <w:rPr>
          <w:rFonts w:ascii="Times New Roman" w:eastAsia="宋体" w:cs="Times New Roman"/>
          <w:bCs/>
          <w:snapToGrid w:val="0"/>
          <w:color w:val="auto"/>
          <w:lang w:eastAsia="zh-CN"/>
        </w:rPr>
        <w:t>截</w:t>
      </w:r>
      <w:r w:rsidRPr="00CD5B84">
        <w:rPr>
          <w:rFonts w:ascii="Times New Roman" w:eastAsia="宋体" w:cs="Times New Roman" w:hint="eastAsia"/>
          <w:bCs/>
          <w:snapToGrid w:val="0"/>
          <w:color w:val="auto"/>
          <w:lang w:eastAsia="zh-CN"/>
        </w:rPr>
        <w:t>至本</w:t>
      </w:r>
      <w:r w:rsidR="005F64DA">
        <w:rPr>
          <w:rFonts w:ascii="Times New Roman" w:eastAsia="宋体" w:cs="Times New Roman" w:hint="eastAsia"/>
          <w:bCs/>
          <w:snapToGrid w:val="0"/>
          <w:color w:val="auto"/>
          <w:lang w:eastAsia="zh-CN"/>
        </w:rPr>
        <w:t>公告</w:t>
      </w:r>
      <w:r w:rsidRPr="00CD5B84">
        <w:rPr>
          <w:rFonts w:ascii="Times New Roman" w:eastAsia="宋体" w:cs="Times New Roman" w:hint="eastAsia"/>
          <w:bCs/>
          <w:snapToGrid w:val="0"/>
          <w:color w:val="auto"/>
          <w:lang w:eastAsia="zh-CN"/>
        </w:rPr>
        <w:t>日，</w:t>
      </w:r>
      <w:r w:rsidRPr="002B3F5F">
        <w:rPr>
          <w:rFonts w:ascii="Times New Roman" w:eastAsia="宋体" w:cs="Times New Roman" w:hint="eastAsia"/>
          <w:bCs/>
          <w:snapToGrid w:val="0"/>
          <w:color w:val="auto"/>
          <w:lang w:eastAsia="zh-CN"/>
        </w:rPr>
        <w:t>上述股份锁定承诺已严格履行完毕，</w:t>
      </w:r>
      <w:r w:rsidR="00D86A34" w:rsidRPr="0016135A">
        <w:rPr>
          <w:rFonts w:ascii="Times New Roman" w:hint="eastAsia"/>
        </w:rPr>
        <w:t>FINSTONE AG</w:t>
      </w:r>
      <w:r w:rsidRPr="002B3F5F">
        <w:rPr>
          <w:rFonts w:ascii="Times New Roman" w:eastAsia="宋体" w:cs="Times New Roman" w:hint="eastAsia"/>
          <w:bCs/>
          <w:snapToGrid w:val="0"/>
          <w:color w:val="auto"/>
          <w:lang w:eastAsia="zh-CN"/>
        </w:rPr>
        <w:t>所持有的</w:t>
      </w:r>
      <w:r>
        <w:rPr>
          <w:rFonts w:ascii="Times New Roman" w:eastAsia="宋体" w:cs="Times New Roman" w:hint="eastAsia"/>
          <w:bCs/>
          <w:snapToGrid w:val="0"/>
          <w:color w:val="auto"/>
          <w:lang w:eastAsia="zh-CN"/>
        </w:rPr>
        <w:t>上市公司</w:t>
      </w:r>
      <w:r w:rsidRPr="002B3F5F">
        <w:rPr>
          <w:rFonts w:ascii="Times New Roman" w:eastAsia="宋体" w:cs="Times New Roman" w:hint="eastAsia"/>
          <w:bCs/>
          <w:snapToGrid w:val="0"/>
          <w:color w:val="auto"/>
          <w:lang w:eastAsia="zh-CN"/>
        </w:rPr>
        <w:t>的股份已于</w:t>
      </w:r>
      <w:r w:rsidRPr="002B3F5F">
        <w:rPr>
          <w:rFonts w:ascii="Times New Roman" w:eastAsia="宋体" w:cs="Times New Roman"/>
          <w:bCs/>
          <w:snapToGrid w:val="0"/>
          <w:color w:val="auto"/>
          <w:lang w:eastAsia="zh-CN"/>
        </w:rPr>
        <w:t>201</w:t>
      </w:r>
      <w:r>
        <w:rPr>
          <w:rFonts w:ascii="Times New Roman" w:eastAsia="宋体" w:cs="Times New Roman" w:hint="eastAsia"/>
          <w:bCs/>
          <w:snapToGrid w:val="0"/>
          <w:color w:val="auto"/>
          <w:lang w:eastAsia="zh-CN"/>
        </w:rPr>
        <w:t>8</w:t>
      </w:r>
      <w:r w:rsidRPr="002B3F5F">
        <w:rPr>
          <w:rFonts w:ascii="Times New Roman" w:eastAsia="宋体" w:cs="Times New Roman" w:hint="eastAsia"/>
          <w:bCs/>
          <w:snapToGrid w:val="0"/>
          <w:color w:val="auto"/>
          <w:lang w:eastAsia="zh-CN"/>
        </w:rPr>
        <w:t>年</w:t>
      </w:r>
      <w:r>
        <w:rPr>
          <w:rFonts w:ascii="Times New Roman" w:eastAsia="宋体" w:cs="Times New Roman" w:hint="eastAsia"/>
          <w:bCs/>
          <w:snapToGrid w:val="0"/>
          <w:color w:val="auto"/>
          <w:lang w:eastAsia="zh-CN"/>
        </w:rPr>
        <w:t>12</w:t>
      </w:r>
      <w:r w:rsidRPr="002B3F5F">
        <w:rPr>
          <w:rFonts w:ascii="Times New Roman" w:eastAsia="宋体" w:cs="Times New Roman" w:hint="eastAsia"/>
          <w:bCs/>
          <w:snapToGrid w:val="0"/>
          <w:color w:val="auto"/>
          <w:lang w:eastAsia="zh-CN"/>
        </w:rPr>
        <w:t>月</w:t>
      </w:r>
      <w:r w:rsidRPr="002B3F5F">
        <w:rPr>
          <w:rFonts w:ascii="Times New Roman" w:eastAsia="宋体" w:cs="Times New Roman"/>
          <w:bCs/>
          <w:snapToGrid w:val="0"/>
          <w:color w:val="auto"/>
          <w:lang w:eastAsia="zh-CN"/>
        </w:rPr>
        <w:t>2</w:t>
      </w:r>
      <w:r>
        <w:rPr>
          <w:rFonts w:ascii="Times New Roman" w:eastAsia="宋体" w:cs="Times New Roman" w:hint="eastAsia"/>
          <w:bCs/>
          <w:snapToGrid w:val="0"/>
          <w:color w:val="auto"/>
          <w:lang w:eastAsia="zh-CN"/>
        </w:rPr>
        <w:t>4</w:t>
      </w:r>
      <w:r w:rsidRPr="002B3F5F">
        <w:rPr>
          <w:rFonts w:ascii="Times New Roman" w:eastAsia="宋体" w:cs="Times New Roman" w:hint="eastAsia"/>
          <w:bCs/>
          <w:snapToGrid w:val="0"/>
          <w:color w:val="auto"/>
          <w:lang w:eastAsia="zh-CN"/>
        </w:rPr>
        <w:t>日</w:t>
      </w:r>
      <w:r>
        <w:rPr>
          <w:rFonts w:ascii="Times New Roman" w:eastAsia="宋体" w:cs="Times New Roman" w:hint="eastAsia"/>
          <w:bCs/>
          <w:snapToGrid w:val="0"/>
          <w:color w:val="auto"/>
          <w:lang w:eastAsia="zh-CN"/>
        </w:rPr>
        <w:t>上市流通</w:t>
      </w:r>
      <w:r w:rsidRPr="002B3F5F">
        <w:rPr>
          <w:rFonts w:ascii="Times New Roman" w:eastAsia="宋体" w:cs="Times New Roman" w:hint="eastAsia"/>
          <w:bCs/>
          <w:snapToGrid w:val="0"/>
          <w:color w:val="auto"/>
          <w:lang w:eastAsia="zh-CN"/>
        </w:rPr>
        <w:t>。本次股份</w:t>
      </w:r>
      <w:r w:rsidR="00F574CE">
        <w:rPr>
          <w:rFonts w:ascii="Times New Roman" w:eastAsia="宋体" w:cs="Times New Roman" w:hint="eastAsia"/>
          <w:bCs/>
          <w:snapToGrid w:val="0"/>
          <w:color w:val="auto"/>
          <w:lang w:eastAsia="zh-CN"/>
        </w:rPr>
        <w:t>转让</w:t>
      </w:r>
      <w:r w:rsidRPr="002B3F5F">
        <w:rPr>
          <w:rFonts w:ascii="Times New Roman" w:eastAsia="宋体" w:cs="Times New Roman" w:hint="eastAsia"/>
          <w:bCs/>
          <w:snapToGrid w:val="0"/>
          <w:color w:val="auto"/>
          <w:lang w:eastAsia="zh-CN"/>
        </w:rPr>
        <w:t>不存在违反相关承诺的情况。</w:t>
      </w:r>
    </w:p>
    <w:p w:rsidR="006B5E7B" w:rsidRDefault="00973868" w:rsidP="00DB2F7C">
      <w:pPr>
        <w:spacing w:beforeLines="50" w:before="156" w:afterLines="50" w:after="156" w:line="360" w:lineRule="auto"/>
        <w:ind w:firstLine="482"/>
        <w:jc w:val="left"/>
        <w:rPr>
          <w:rFonts w:ascii="Times New Roman" w:hAnsi="Times New Roman"/>
          <w:b/>
          <w:color w:val="000000"/>
          <w:kern w:val="0"/>
          <w:sz w:val="24"/>
        </w:rPr>
      </w:pPr>
      <w:r>
        <w:rPr>
          <w:rFonts w:ascii="Times New Roman" w:hAnsi="Times New Roman" w:hint="eastAsia"/>
          <w:b/>
          <w:color w:val="000000"/>
          <w:kern w:val="0"/>
          <w:sz w:val="24"/>
        </w:rPr>
        <w:t>六</w:t>
      </w:r>
      <w:r w:rsidR="00195808">
        <w:rPr>
          <w:rFonts w:ascii="Times New Roman" w:hAnsi="Times New Roman" w:hint="eastAsia"/>
          <w:b/>
          <w:color w:val="000000"/>
          <w:kern w:val="0"/>
          <w:sz w:val="24"/>
        </w:rPr>
        <w:t>、其他相关说明</w:t>
      </w:r>
    </w:p>
    <w:p w:rsidR="006B5E7B" w:rsidRDefault="00D21B7C" w:rsidP="0016135A">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（一）</w:t>
      </w:r>
      <w:r w:rsidR="00195808">
        <w:rPr>
          <w:rFonts w:ascii="Times New Roman" w:hAnsi="Times New Roman" w:hint="eastAsia"/>
          <w:color w:val="000000"/>
          <w:kern w:val="0"/>
          <w:sz w:val="24"/>
        </w:rPr>
        <w:t>本次</w:t>
      </w:r>
      <w:r w:rsidR="005F2E33">
        <w:rPr>
          <w:rFonts w:ascii="Times New Roman" w:hAnsi="Times New Roman" w:hint="eastAsia"/>
          <w:color w:val="000000"/>
          <w:kern w:val="0"/>
          <w:sz w:val="24"/>
        </w:rPr>
        <w:t>协议转让</w:t>
      </w:r>
      <w:r w:rsidR="00FC6402" w:rsidRPr="0016135A">
        <w:rPr>
          <w:rFonts w:ascii="Times New Roman" w:hAnsi="Times New Roman"/>
          <w:color w:val="000000"/>
          <w:kern w:val="0"/>
          <w:sz w:val="24"/>
        </w:rPr>
        <w:t>符合《证券法》、</w:t>
      </w:r>
      <w:r w:rsidR="00BF67D8" w:rsidRPr="0016135A">
        <w:rPr>
          <w:rFonts w:ascii="Times New Roman" w:hAnsi="Times New Roman" w:hint="eastAsia"/>
          <w:color w:val="000000"/>
          <w:kern w:val="0"/>
          <w:sz w:val="24"/>
        </w:rPr>
        <w:t>《上市公司收购管理办法》</w:t>
      </w:r>
      <w:r w:rsidR="000275A3">
        <w:rPr>
          <w:rFonts w:ascii="Times New Roman" w:hAnsi="Times New Roman" w:hint="eastAsia"/>
          <w:color w:val="000000"/>
          <w:kern w:val="0"/>
          <w:sz w:val="24"/>
        </w:rPr>
        <w:t>、</w:t>
      </w:r>
      <w:r w:rsidR="00FC6402" w:rsidRPr="0016135A">
        <w:rPr>
          <w:rFonts w:ascii="Times New Roman" w:hAnsi="Times New Roman"/>
          <w:color w:val="000000"/>
          <w:kern w:val="0"/>
          <w:sz w:val="24"/>
        </w:rPr>
        <w:t>《深圳证券交易所股票上市规则》、《深圳证券交易所中小企业板上市公司规范运作指</w:t>
      </w:r>
      <w:r w:rsidR="00FC6402" w:rsidRPr="0016135A">
        <w:rPr>
          <w:rFonts w:ascii="Times New Roman" w:hAnsi="Times New Roman"/>
          <w:color w:val="000000"/>
          <w:kern w:val="0"/>
          <w:sz w:val="24"/>
        </w:rPr>
        <w:lastRenderedPageBreak/>
        <w:t>引》、《上市公司股东、董监高减持股份的若干规定》、《深圳证券交易所上市公司股东及董事、监事、高级管理人员减持股份实施细则》等法律、法规及规范性文件，</w:t>
      </w:r>
      <w:r w:rsidR="00BF67D8" w:rsidRPr="0016135A">
        <w:rPr>
          <w:rFonts w:ascii="Times New Roman" w:hAnsi="Times New Roman" w:hint="eastAsia"/>
          <w:color w:val="000000"/>
          <w:kern w:val="0"/>
          <w:sz w:val="24"/>
        </w:rPr>
        <w:t>相关信息披露义务人已就本次协议转让事项履行信息披露义务，本次</w:t>
      </w:r>
      <w:r w:rsidR="00BF67D8">
        <w:rPr>
          <w:rFonts w:ascii="Times New Roman" w:hAnsi="Times New Roman" w:hint="eastAsia"/>
          <w:color w:val="000000"/>
          <w:kern w:val="0"/>
          <w:sz w:val="24"/>
        </w:rPr>
        <w:t>权益变动具体情况详见同日在巨潮资讯网（</w:t>
      </w:r>
      <w:r w:rsidR="00BF67D8">
        <w:rPr>
          <w:rFonts w:ascii="Times New Roman" w:hAnsi="Times New Roman" w:hint="eastAsia"/>
          <w:color w:val="000000"/>
          <w:kern w:val="0"/>
          <w:sz w:val="24"/>
        </w:rPr>
        <w:t>www.cninfo.com.cn</w:t>
      </w:r>
      <w:r w:rsidR="00BF67D8">
        <w:rPr>
          <w:rFonts w:ascii="Times New Roman" w:hAnsi="Times New Roman" w:hint="eastAsia"/>
          <w:color w:val="000000"/>
          <w:kern w:val="0"/>
          <w:sz w:val="24"/>
        </w:rPr>
        <w:t>）上披露的《简式权益变动报告书</w:t>
      </w:r>
      <w:r w:rsidR="00E75095">
        <w:rPr>
          <w:rFonts w:ascii="Times New Roman" w:hAnsi="Times New Roman" w:hint="eastAsia"/>
          <w:color w:val="000000"/>
          <w:kern w:val="0"/>
          <w:sz w:val="24"/>
        </w:rPr>
        <w:t>（一）</w:t>
      </w:r>
      <w:r w:rsidR="00BF67D8">
        <w:rPr>
          <w:rFonts w:ascii="Times New Roman" w:hAnsi="Times New Roman" w:hint="eastAsia"/>
          <w:color w:val="000000"/>
          <w:kern w:val="0"/>
          <w:sz w:val="24"/>
        </w:rPr>
        <w:t>》</w:t>
      </w:r>
      <w:r w:rsidR="00E75095">
        <w:rPr>
          <w:rFonts w:ascii="Times New Roman" w:hAnsi="Times New Roman" w:hint="eastAsia"/>
          <w:color w:val="000000"/>
          <w:kern w:val="0"/>
          <w:sz w:val="24"/>
        </w:rPr>
        <w:t>、</w:t>
      </w:r>
      <w:r w:rsidR="00E75095">
        <w:rPr>
          <w:rFonts w:ascii="Times New Roman" w:hAnsi="Times New Roman" w:hint="eastAsia"/>
          <w:color w:val="000000"/>
          <w:kern w:val="0"/>
          <w:sz w:val="24"/>
        </w:rPr>
        <w:t>《简式权益变动报告书（</w:t>
      </w:r>
      <w:r w:rsidR="00E75095">
        <w:rPr>
          <w:rFonts w:ascii="Times New Roman" w:hAnsi="Times New Roman" w:hint="eastAsia"/>
          <w:color w:val="000000"/>
          <w:kern w:val="0"/>
          <w:sz w:val="24"/>
        </w:rPr>
        <w:t>二</w:t>
      </w:r>
      <w:r w:rsidR="00E75095">
        <w:rPr>
          <w:rFonts w:ascii="Times New Roman" w:hAnsi="Times New Roman" w:hint="eastAsia"/>
          <w:color w:val="000000"/>
          <w:kern w:val="0"/>
          <w:sz w:val="24"/>
        </w:rPr>
        <w:t>）》</w:t>
      </w:r>
      <w:r w:rsidR="00E75095">
        <w:rPr>
          <w:rFonts w:ascii="Times New Roman" w:hAnsi="Times New Roman" w:hint="eastAsia"/>
          <w:color w:val="000000"/>
          <w:kern w:val="0"/>
          <w:sz w:val="24"/>
        </w:rPr>
        <w:t>、</w:t>
      </w:r>
      <w:r w:rsidR="00E75095">
        <w:rPr>
          <w:rFonts w:ascii="Times New Roman" w:hAnsi="Times New Roman" w:hint="eastAsia"/>
          <w:color w:val="000000"/>
          <w:kern w:val="0"/>
          <w:sz w:val="24"/>
        </w:rPr>
        <w:t>《简式权益变动报告书（</w:t>
      </w:r>
      <w:r w:rsidR="00E75095">
        <w:rPr>
          <w:rFonts w:ascii="Times New Roman" w:hAnsi="Times New Roman" w:hint="eastAsia"/>
          <w:color w:val="000000"/>
          <w:kern w:val="0"/>
          <w:sz w:val="24"/>
        </w:rPr>
        <w:t>三</w:t>
      </w:r>
      <w:bookmarkStart w:id="5" w:name="_GoBack"/>
      <w:bookmarkEnd w:id="5"/>
      <w:r w:rsidR="00E75095">
        <w:rPr>
          <w:rFonts w:ascii="Times New Roman" w:hAnsi="Times New Roman" w:hint="eastAsia"/>
          <w:color w:val="000000"/>
          <w:kern w:val="0"/>
          <w:sz w:val="24"/>
        </w:rPr>
        <w:t>）》</w:t>
      </w:r>
      <w:r w:rsidR="00FC6402" w:rsidRPr="0016135A">
        <w:rPr>
          <w:rFonts w:ascii="Times New Roman" w:hAnsi="Times New Roman"/>
          <w:color w:val="000000"/>
          <w:kern w:val="0"/>
          <w:sz w:val="24"/>
        </w:rPr>
        <w:t>。</w:t>
      </w:r>
    </w:p>
    <w:p w:rsidR="006B5E7B" w:rsidRDefault="00D21B7C" w:rsidP="0016135A">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（二）</w:t>
      </w:r>
      <w:r w:rsidR="00FC6402">
        <w:rPr>
          <w:rFonts w:ascii="Times New Roman" w:hAnsi="Times New Roman" w:hint="eastAsia"/>
          <w:color w:val="000000"/>
          <w:kern w:val="0"/>
          <w:sz w:val="24"/>
        </w:rPr>
        <w:t>FINSTONE AG</w:t>
      </w:r>
      <w:r w:rsidR="00076AA7">
        <w:rPr>
          <w:rFonts w:ascii="Times New Roman" w:hAnsi="Times New Roman" w:hint="eastAsia"/>
          <w:color w:val="000000"/>
          <w:kern w:val="0"/>
          <w:sz w:val="24"/>
        </w:rPr>
        <w:t>不属于公司控股股东、实际控制人。</w:t>
      </w:r>
      <w:r w:rsidR="00195808">
        <w:rPr>
          <w:rFonts w:ascii="Times New Roman" w:hAnsi="Times New Roman" w:hint="eastAsia"/>
          <w:color w:val="000000"/>
          <w:kern w:val="0"/>
          <w:sz w:val="24"/>
        </w:rPr>
        <w:t>本次权益变动</w:t>
      </w:r>
      <w:r w:rsidR="00BF67D8">
        <w:rPr>
          <w:rFonts w:ascii="Times New Roman" w:hAnsi="Times New Roman" w:hint="eastAsia"/>
          <w:color w:val="000000"/>
          <w:kern w:val="0"/>
          <w:sz w:val="24"/>
        </w:rPr>
        <w:t>不</w:t>
      </w:r>
      <w:r w:rsidR="00462615">
        <w:rPr>
          <w:rFonts w:ascii="Times New Roman" w:hAnsi="Times New Roman" w:hint="eastAsia"/>
          <w:color w:val="000000"/>
          <w:kern w:val="0"/>
          <w:sz w:val="24"/>
        </w:rPr>
        <w:t>会导致公司控制权发生变化，不会对公司的治理结构及持续经营产生</w:t>
      </w:r>
      <w:r w:rsidR="00BF67D8">
        <w:rPr>
          <w:rFonts w:ascii="Times New Roman" w:hAnsi="Times New Roman" w:hint="eastAsia"/>
          <w:color w:val="000000"/>
          <w:kern w:val="0"/>
          <w:sz w:val="24"/>
        </w:rPr>
        <w:t>影响。</w:t>
      </w:r>
    </w:p>
    <w:p w:rsidR="0016135A" w:rsidRDefault="00D21B7C" w:rsidP="0016135A">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（三）</w:t>
      </w:r>
      <w:r w:rsidR="0016135A" w:rsidRPr="0016135A">
        <w:rPr>
          <w:rFonts w:ascii="Times New Roman" w:hAnsi="Times New Roman" w:hint="eastAsia"/>
          <w:color w:val="000000"/>
          <w:kern w:val="0"/>
          <w:sz w:val="24"/>
        </w:rPr>
        <w:t>FINSTONE AG</w:t>
      </w:r>
      <w:r w:rsidR="0016135A" w:rsidRPr="0016135A">
        <w:rPr>
          <w:rFonts w:ascii="Times New Roman" w:hAnsi="Times New Roman" w:hint="eastAsia"/>
          <w:color w:val="000000"/>
          <w:kern w:val="0"/>
          <w:sz w:val="24"/>
        </w:rPr>
        <w:t>通过协议转让方式拟转让其持有的上市公司</w:t>
      </w:r>
      <w:r w:rsidR="0016135A" w:rsidRPr="0016135A">
        <w:rPr>
          <w:rFonts w:ascii="Times New Roman" w:hAnsi="Times New Roman"/>
          <w:color w:val="000000"/>
          <w:kern w:val="0"/>
          <w:sz w:val="24"/>
        </w:rPr>
        <w:t>43,050,050</w:t>
      </w:r>
      <w:r w:rsidR="0016135A" w:rsidRPr="0016135A">
        <w:rPr>
          <w:rFonts w:ascii="Times New Roman" w:hAnsi="Times New Roman" w:hint="eastAsia"/>
          <w:color w:val="000000"/>
          <w:kern w:val="0"/>
          <w:sz w:val="24"/>
        </w:rPr>
        <w:t>股无限</w:t>
      </w:r>
      <w:proofErr w:type="gramStart"/>
      <w:r w:rsidR="0016135A" w:rsidRPr="0016135A">
        <w:rPr>
          <w:rFonts w:ascii="Times New Roman" w:hAnsi="Times New Roman" w:hint="eastAsia"/>
          <w:color w:val="000000"/>
          <w:kern w:val="0"/>
          <w:sz w:val="24"/>
        </w:rPr>
        <w:t>售流通</w:t>
      </w:r>
      <w:proofErr w:type="gramEnd"/>
      <w:r w:rsidR="0016135A" w:rsidRPr="0016135A">
        <w:rPr>
          <w:rFonts w:ascii="Times New Roman" w:hAnsi="Times New Roman" w:hint="eastAsia"/>
          <w:color w:val="000000"/>
          <w:kern w:val="0"/>
          <w:sz w:val="24"/>
        </w:rPr>
        <w:t>股份存在质押限制情况。</w:t>
      </w:r>
      <w:r w:rsidR="00DB2F7C" w:rsidRPr="00BE415B">
        <w:rPr>
          <w:rFonts w:ascii="Times New Roman" w:hAnsi="Times New Roman" w:hint="eastAsia"/>
          <w:color w:val="000000"/>
          <w:kern w:val="0"/>
          <w:sz w:val="24"/>
        </w:rPr>
        <w:t>除此之外，本次协议转让涉及的股份不存在其他任何限制股份转让的情形，包括但不限于查封、冻结等。</w:t>
      </w:r>
      <w:r w:rsidR="00BE415B" w:rsidRPr="0016135A">
        <w:rPr>
          <w:rFonts w:ascii="Times New Roman" w:hAnsi="Times New Roman" w:hint="eastAsia"/>
          <w:color w:val="000000"/>
          <w:kern w:val="0"/>
          <w:sz w:val="24"/>
        </w:rPr>
        <w:t>FINSTONE AG</w:t>
      </w:r>
      <w:r w:rsidR="00DB2F7C" w:rsidRPr="00BE415B">
        <w:rPr>
          <w:rFonts w:ascii="Times New Roman" w:hAnsi="Times New Roman" w:hint="eastAsia"/>
          <w:color w:val="000000"/>
          <w:kern w:val="0"/>
          <w:sz w:val="24"/>
        </w:rPr>
        <w:t>将根据《股份转让协议》的约定在</w:t>
      </w:r>
      <w:r w:rsidR="00712027">
        <w:rPr>
          <w:rFonts w:ascii="Times New Roman" w:hAnsi="Times New Roman" w:hint="eastAsia"/>
          <w:color w:val="000000"/>
          <w:kern w:val="0"/>
          <w:sz w:val="24"/>
        </w:rPr>
        <w:t>上述</w:t>
      </w:r>
      <w:r w:rsidR="00DB2F7C" w:rsidRPr="00BE415B">
        <w:rPr>
          <w:rFonts w:ascii="Times New Roman" w:hAnsi="Times New Roman" w:hint="eastAsia"/>
          <w:color w:val="000000"/>
          <w:kern w:val="0"/>
          <w:sz w:val="24"/>
        </w:rPr>
        <w:t>股份过户前解除标的股份的质押状态，因此本次权益变动股份过户时，</w:t>
      </w:r>
      <w:r w:rsidR="00712027">
        <w:rPr>
          <w:rFonts w:ascii="Times New Roman" w:hAnsi="Times New Roman" w:hint="eastAsia"/>
          <w:color w:val="000000"/>
          <w:kern w:val="0"/>
          <w:sz w:val="24"/>
        </w:rPr>
        <w:t>上述</w:t>
      </w:r>
      <w:r w:rsidR="00DB2F7C" w:rsidRPr="00BE415B">
        <w:rPr>
          <w:rFonts w:ascii="Times New Roman" w:hAnsi="Times New Roman" w:hint="eastAsia"/>
          <w:color w:val="000000"/>
          <w:kern w:val="0"/>
          <w:sz w:val="24"/>
        </w:rPr>
        <w:t>股份将不存在权利限制的情形</w:t>
      </w:r>
      <w:r w:rsidR="00DB2F7C" w:rsidRPr="00BE415B">
        <w:rPr>
          <w:rFonts w:ascii="Times New Roman" w:hAnsi="Times New Roman"/>
          <w:color w:val="000000"/>
          <w:kern w:val="0"/>
          <w:sz w:val="24"/>
        </w:rPr>
        <w:t>。</w:t>
      </w:r>
    </w:p>
    <w:p w:rsidR="0016135A" w:rsidRDefault="00D21B7C" w:rsidP="0016135A">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（四）</w:t>
      </w:r>
      <w:r w:rsidR="00E177DC" w:rsidRPr="0016135A">
        <w:rPr>
          <w:rFonts w:ascii="Times New Roman" w:hAnsi="Times New Roman"/>
          <w:color w:val="000000"/>
          <w:kern w:val="0"/>
          <w:sz w:val="24"/>
        </w:rPr>
        <w:t>本次协议转让股份事项尚需深圳证券交易所进行合</w:t>
      </w:r>
      <w:proofErr w:type="gramStart"/>
      <w:r w:rsidR="00E177DC" w:rsidRPr="0016135A">
        <w:rPr>
          <w:rFonts w:ascii="Times New Roman" w:hAnsi="Times New Roman"/>
          <w:color w:val="000000"/>
          <w:kern w:val="0"/>
          <w:sz w:val="24"/>
        </w:rPr>
        <w:t>规</w:t>
      </w:r>
      <w:proofErr w:type="gramEnd"/>
      <w:r w:rsidR="00E177DC" w:rsidRPr="0016135A">
        <w:rPr>
          <w:rFonts w:ascii="Times New Roman" w:hAnsi="Times New Roman"/>
          <w:color w:val="000000"/>
          <w:kern w:val="0"/>
          <w:sz w:val="24"/>
        </w:rPr>
        <w:t>性确认后方能在中国证券登记结算有限公司深圳分公司办理流通</w:t>
      </w:r>
      <w:proofErr w:type="gramStart"/>
      <w:r w:rsidR="00E177DC" w:rsidRPr="0016135A">
        <w:rPr>
          <w:rFonts w:ascii="Times New Roman" w:hAnsi="Times New Roman"/>
          <w:color w:val="000000"/>
          <w:kern w:val="0"/>
          <w:sz w:val="24"/>
        </w:rPr>
        <w:t>股协议</w:t>
      </w:r>
      <w:proofErr w:type="gramEnd"/>
      <w:r w:rsidR="00E177DC" w:rsidRPr="0016135A">
        <w:rPr>
          <w:rFonts w:ascii="Times New Roman" w:hAnsi="Times New Roman"/>
          <w:color w:val="000000"/>
          <w:kern w:val="0"/>
          <w:sz w:val="24"/>
        </w:rPr>
        <w:t>转让过户手续</w:t>
      </w:r>
      <w:r w:rsidR="00195808">
        <w:rPr>
          <w:rFonts w:ascii="Times New Roman" w:hAnsi="Times New Roman" w:hint="eastAsia"/>
          <w:color w:val="000000"/>
          <w:kern w:val="0"/>
          <w:sz w:val="24"/>
        </w:rPr>
        <w:t>。</w:t>
      </w:r>
    </w:p>
    <w:p w:rsidR="006B5E7B" w:rsidRDefault="00D21B7C" w:rsidP="0016135A">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（五）</w:t>
      </w:r>
      <w:r w:rsidR="00E177DC" w:rsidRPr="0016135A">
        <w:rPr>
          <w:rFonts w:ascii="Times New Roman" w:hAnsi="Times New Roman"/>
          <w:color w:val="000000"/>
          <w:kern w:val="0"/>
          <w:sz w:val="24"/>
        </w:rPr>
        <w:t>本次协议转让股份事项尚存在不确定性，</w:t>
      </w:r>
      <w:r w:rsidR="00195808">
        <w:rPr>
          <w:rFonts w:ascii="Times New Roman" w:hAnsi="Times New Roman" w:hint="eastAsia"/>
          <w:color w:val="000000"/>
          <w:kern w:val="0"/>
          <w:sz w:val="24"/>
        </w:rPr>
        <w:t>敬请广大投资者注意投资风险。</w:t>
      </w:r>
    </w:p>
    <w:p w:rsidR="000E5C90" w:rsidRDefault="00D21B7C" w:rsidP="006F4B0F">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（六）</w:t>
      </w:r>
      <w:r w:rsidR="000E5C90" w:rsidRPr="006F4B0F">
        <w:rPr>
          <w:rFonts w:ascii="Times New Roman" w:hAnsi="Times New Roman" w:hint="eastAsia"/>
          <w:color w:val="000000"/>
          <w:kern w:val="0"/>
          <w:sz w:val="24"/>
        </w:rPr>
        <w:t>经公司查询，</w:t>
      </w:r>
      <w:r w:rsidR="006F4B0F">
        <w:rPr>
          <w:rFonts w:ascii="Times New Roman" w:hAnsi="Times New Roman" w:hint="eastAsia"/>
          <w:color w:val="000000"/>
          <w:kern w:val="0"/>
          <w:sz w:val="24"/>
        </w:rPr>
        <w:t>金</w:t>
      </w:r>
      <w:r w:rsidR="00DC23EE">
        <w:rPr>
          <w:rFonts w:ascii="Times New Roman" w:hAnsi="Times New Roman" w:hint="eastAsia"/>
          <w:color w:val="000000"/>
          <w:kern w:val="0"/>
          <w:sz w:val="24"/>
        </w:rPr>
        <w:t>麟</w:t>
      </w:r>
      <w:r w:rsidR="006F4B0F">
        <w:rPr>
          <w:rFonts w:ascii="Times New Roman" w:hAnsi="Times New Roman" w:hint="eastAsia"/>
          <w:color w:val="000000"/>
          <w:kern w:val="0"/>
          <w:sz w:val="24"/>
        </w:rPr>
        <w:t>四海</w:t>
      </w:r>
      <w:r w:rsidR="000E5C90" w:rsidRPr="006F4B0F">
        <w:rPr>
          <w:rFonts w:ascii="Times New Roman" w:hAnsi="Times New Roman" w:hint="eastAsia"/>
          <w:color w:val="000000"/>
          <w:kern w:val="0"/>
          <w:sz w:val="24"/>
        </w:rPr>
        <w:t>、</w:t>
      </w:r>
      <w:r w:rsidR="00DC23EE">
        <w:rPr>
          <w:rFonts w:ascii="Times New Roman" w:hAnsi="Times New Roman" w:hint="eastAsia"/>
          <w:color w:val="000000"/>
          <w:kern w:val="0"/>
          <w:sz w:val="24"/>
        </w:rPr>
        <w:t>八大处</w:t>
      </w:r>
      <w:r w:rsidR="000E5C90" w:rsidRPr="006F4B0F">
        <w:rPr>
          <w:rFonts w:ascii="Times New Roman" w:hAnsi="Times New Roman" w:hint="eastAsia"/>
          <w:color w:val="000000"/>
          <w:kern w:val="0"/>
          <w:sz w:val="24"/>
        </w:rPr>
        <w:t>不属于</w:t>
      </w:r>
      <w:r w:rsidR="0034792F">
        <w:rPr>
          <w:rFonts w:ascii="Times New Roman" w:hAnsi="Times New Roman" w:hint="eastAsia"/>
          <w:color w:val="000000"/>
          <w:kern w:val="0"/>
          <w:sz w:val="24"/>
        </w:rPr>
        <w:t>“</w:t>
      </w:r>
      <w:r w:rsidR="000E5C90" w:rsidRPr="006F4B0F">
        <w:rPr>
          <w:rFonts w:ascii="Times New Roman" w:hAnsi="Times New Roman" w:hint="eastAsia"/>
          <w:color w:val="000000"/>
          <w:kern w:val="0"/>
          <w:sz w:val="24"/>
        </w:rPr>
        <w:t>失信被执行人</w:t>
      </w:r>
      <w:r w:rsidR="0034792F">
        <w:rPr>
          <w:rFonts w:ascii="Times New Roman" w:hAnsi="Times New Roman" w:hint="eastAsia"/>
          <w:color w:val="000000"/>
          <w:kern w:val="0"/>
          <w:sz w:val="24"/>
        </w:rPr>
        <w:t>”</w:t>
      </w:r>
      <w:r w:rsidR="000E5C90" w:rsidRPr="006F4B0F">
        <w:rPr>
          <w:rFonts w:ascii="Times New Roman" w:hAnsi="Times New Roman" w:hint="eastAsia"/>
          <w:color w:val="000000"/>
          <w:kern w:val="0"/>
          <w:sz w:val="24"/>
        </w:rPr>
        <w:t>。</w:t>
      </w:r>
    </w:p>
    <w:p w:rsidR="006B5E7B" w:rsidRDefault="00973868" w:rsidP="00D21B7C">
      <w:pPr>
        <w:spacing w:beforeLines="50" w:before="156" w:afterLines="50" w:after="156" w:line="360" w:lineRule="auto"/>
        <w:ind w:firstLineChars="200" w:firstLine="482"/>
        <w:jc w:val="left"/>
        <w:rPr>
          <w:rFonts w:ascii="Times New Roman" w:hAnsi="Times New Roman"/>
          <w:b/>
          <w:color w:val="000000"/>
          <w:kern w:val="0"/>
          <w:sz w:val="24"/>
        </w:rPr>
      </w:pPr>
      <w:r>
        <w:rPr>
          <w:rFonts w:ascii="Times New Roman" w:hAnsi="Times New Roman" w:hint="eastAsia"/>
          <w:b/>
          <w:color w:val="000000"/>
          <w:kern w:val="0"/>
          <w:sz w:val="24"/>
        </w:rPr>
        <w:t>七</w:t>
      </w:r>
      <w:r w:rsidR="00195808">
        <w:rPr>
          <w:rFonts w:ascii="Times New Roman" w:hAnsi="Times New Roman" w:hint="eastAsia"/>
          <w:b/>
          <w:color w:val="000000"/>
          <w:kern w:val="0"/>
          <w:sz w:val="24"/>
        </w:rPr>
        <w:t>、备查文件</w:t>
      </w:r>
    </w:p>
    <w:p w:rsidR="00623E9A" w:rsidRDefault="00D21B7C" w:rsidP="00D21B7C">
      <w:pPr>
        <w:spacing w:line="480" w:lineRule="exact"/>
        <w:ind w:firstLineChars="200" w:firstLine="480"/>
        <w:jc w:val="left"/>
        <w:rPr>
          <w:rFonts w:ascii="Times New Roman" w:hAnsi="Times New Roman"/>
          <w:color w:val="000000"/>
          <w:kern w:val="0"/>
          <w:sz w:val="24"/>
        </w:rPr>
      </w:pPr>
      <w:r>
        <w:rPr>
          <w:rFonts w:ascii="Times New Roman" w:hAnsi="Times New Roman" w:hint="eastAsia"/>
          <w:color w:val="000000"/>
          <w:kern w:val="0"/>
          <w:sz w:val="24"/>
        </w:rPr>
        <w:t>（一）</w:t>
      </w:r>
      <w:r w:rsidR="00623E9A">
        <w:rPr>
          <w:rFonts w:ascii="Times New Roman" w:hAnsi="Times New Roman" w:hint="eastAsia"/>
          <w:color w:val="000000"/>
          <w:kern w:val="0"/>
          <w:sz w:val="24"/>
        </w:rPr>
        <w:t>《股权转让协议》；</w:t>
      </w:r>
    </w:p>
    <w:p w:rsidR="006B5E7B" w:rsidRDefault="00D21B7C" w:rsidP="00D21B7C">
      <w:pPr>
        <w:spacing w:line="480" w:lineRule="exact"/>
        <w:ind w:firstLineChars="200" w:firstLine="480"/>
        <w:jc w:val="left"/>
        <w:rPr>
          <w:rFonts w:ascii="Times New Roman" w:hAnsi="Times New Roman"/>
          <w:color w:val="000000"/>
          <w:kern w:val="0"/>
          <w:sz w:val="24"/>
        </w:rPr>
      </w:pPr>
      <w:r>
        <w:rPr>
          <w:rFonts w:ascii="Times New Roman" w:hAnsi="Times New Roman" w:hint="eastAsia"/>
          <w:color w:val="000000"/>
          <w:kern w:val="0"/>
          <w:sz w:val="24"/>
        </w:rPr>
        <w:t>（二）</w:t>
      </w:r>
      <w:r w:rsidR="00195808">
        <w:rPr>
          <w:rFonts w:ascii="Times New Roman" w:hAnsi="Times New Roman" w:hint="eastAsia"/>
          <w:color w:val="000000"/>
          <w:kern w:val="0"/>
          <w:sz w:val="24"/>
        </w:rPr>
        <w:t>《</w:t>
      </w:r>
      <w:r w:rsidR="008D3D99">
        <w:rPr>
          <w:rFonts w:ascii="Times New Roman" w:hAnsi="Times New Roman" w:hint="eastAsia"/>
          <w:color w:val="000000"/>
          <w:kern w:val="0"/>
          <w:sz w:val="24"/>
        </w:rPr>
        <w:t>简式权益变动报告书</w:t>
      </w:r>
      <w:r w:rsidR="00195808">
        <w:rPr>
          <w:rFonts w:ascii="Times New Roman" w:hAnsi="Times New Roman" w:hint="eastAsia"/>
          <w:color w:val="000000"/>
          <w:kern w:val="0"/>
          <w:sz w:val="24"/>
        </w:rPr>
        <w:t>》</w:t>
      </w:r>
      <w:r w:rsidR="00E177DC">
        <w:rPr>
          <w:rFonts w:ascii="Times New Roman" w:hAnsi="Times New Roman" w:hint="eastAsia"/>
          <w:color w:val="000000"/>
          <w:kern w:val="0"/>
          <w:sz w:val="24"/>
        </w:rPr>
        <w:t>（一）</w:t>
      </w:r>
      <w:r w:rsidR="00623E9A">
        <w:rPr>
          <w:rFonts w:ascii="Times New Roman" w:hAnsi="Times New Roman" w:hint="eastAsia"/>
          <w:color w:val="000000"/>
          <w:kern w:val="0"/>
          <w:sz w:val="24"/>
        </w:rPr>
        <w:t>；</w:t>
      </w:r>
    </w:p>
    <w:p w:rsidR="00623E9A" w:rsidRDefault="00D21B7C" w:rsidP="00D21B7C">
      <w:pPr>
        <w:spacing w:line="480" w:lineRule="exact"/>
        <w:ind w:firstLineChars="200" w:firstLine="480"/>
        <w:jc w:val="left"/>
        <w:rPr>
          <w:rFonts w:ascii="Times New Roman" w:hAnsi="Times New Roman"/>
          <w:color w:val="000000"/>
          <w:kern w:val="0"/>
          <w:sz w:val="24"/>
        </w:rPr>
      </w:pPr>
      <w:r>
        <w:rPr>
          <w:rFonts w:ascii="Times New Roman" w:hAnsi="Times New Roman" w:hint="eastAsia"/>
          <w:color w:val="000000"/>
          <w:kern w:val="0"/>
          <w:sz w:val="24"/>
        </w:rPr>
        <w:t>（三）</w:t>
      </w:r>
      <w:r w:rsidR="00E177DC">
        <w:rPr>
          <w:rFonts w:ascii="Times New Roman" w:hAnsi="Times New Roman" w:hint="eastAsia"/>
          <w:color w:val="000000"/>
          <w:kern w:val="0"/>
          <w:sz w:val="24"/>
        </w:rPr>
        <w:t>《简式权益变动报告书》（二）；</w:t>
      </w:r>
    </w:p>
    <w:p w:rsidR="00E177DC" w:rsidRPr="00E177DC" w:rsidRDefault="00D21B7C" w:rsidP="00D21B7C">
      <w:pPr>
        <w:spacing w:line="480" w:lineRule="exact"/>
        <w:ind w:firstLineChars="200" w:firstLine="480"/>
        <w:jc w:val="left"/>
        <w:rPr>
          <w:rFonts w:ascii="Times New Roman" w:hAnsi="Times New Roman"/>
          <w:color w:val="000000"/>
          <w:kern w:val="0"/>
          <w:sz w:val="24"/>
        </w:rPr>
      </w:pPr>
      <w:r>
        <w:rPr>
          <w:rFonts w:ascii="Times New Roman" w:hAnsi="Times New Roman" w:hint="eastAsia"/>
          <w:color w:val="000000"/>
          <w:kern w:val="0"/>
          <w:sz w:val="24"/>
        </w:rPr>
        <w:t>（四）</w:t>
      </w:r>
      <w:r w:rsidR="00407AC4">
        <w:rPr>
          <w:rFonts w:ascii="Times New Roman" w:hAnsi="Times New Roman" w:hint="eastAsia"/>
          <w:color w:val="000000"/>
          <w:kern w:val="0"/>
          <w:sz w:val="24"/>
        </w:rPr>
        <w:t>《简式权益变动报告书》</w:t>
      </w:r>
      <w:r w:rsidR="00E177DC">
        <w:rPr>
          <w:rFonts w:ascii="Times New Roman" w:hAnsi="Times New Roman" w:hint="eastAsia"/>
          <w:color w:val="000000"/>
          <w:kern w:val="0"/>
          <w:sz w:val="24"/>
        </w:rPr>
        <w:t>（三）。</w:t>
      </w:r>
    </w:p>
    <w:p w:rsidR="006B5E7B" w:rsidRDefault="00195808" w:rsidP="00D21B7C">
      <w:pPr>
        <w:spacing w:beforeLines="50" w:before="156" w:line="480" w:lineRule="exact"/>
        <w:ind w:firstLineChars="200" w:firstLine="480"/>
        <w:jc w:val="left"/>
        <w:rPr>
          <w:rFonts w:ascii="Times New Roman" w:hAnsi="Times New Roman"/>
          <w:color w:val="000000"/>
          <w:kern w:val="0"/>
          <w:sz w:val="24"/>
        </w:rPr>
      </w:pPr>
      <w:r>
        <w:rPr>
          <w:rFonts w:ascii="Times New Roman" w:hAnsi="Times New Roman" w:hint="eastAsia"/>
          <w:color w:val="000000"/>
          <w:kern w:val="0"/>
          <w:sz w:val="24"/>
        </w:rPr>
        <w:t>特此公告。</w:t>
      </w:r>
    </w:p>
    <w:p w:rsidR="003725DB" w:rsidRDefault="003725DB" w:rsidP="00E02389">
      <w:pPr>
        <w:spacing w:afterLines="50" w:after="156" w:line="480" w:lineRule="exact"/>
        <w:ind w:firstLineChars="150" w:firstLine="360"/>
        <w:jc w:val="left"/>
        <w:rPr>
          <w:rFonts w:ascii="Times New Roman" w:hAnsi="Times New Roman"/>
          <w:color w:val="000000"/>
          <w:kern w:val="0"/>
          <w:sz w:val="24"/>
        </w:rPr>
      </w:pPr>
    </w:p>
    <w:p w:rsidR="006B5E7B" w:rsidRDefault="00195808">
      <w:pPr>
        <w:spacing w:line="480" w:lineRule="exact"/>
        <w:ind w:firstLineChars="200" w:firstLine="480"/>
        <w:jc w:val="right"/>
        <w:rPr>
          <w:rFonts w:ascii="Times New Roman" w:hAnsi="Times New Roman"/>
          <w:color w:val="000000"/>
          <w:kern w:val="0"/>
          <w:sz w:val="24"/>
        </w:rPr>
      </w:pPr>
      <w:r>
        <w:rPr>
          <w:rFonts w:ascii="Times New Roman" w:hAnsi="Times New Roman" w:hint="eastAsia"/>
          <w:color w:val="000000"/>
          <w:kern w:val="0"/>
          <w:sz w:val="24"/>
        </w:rPr>
        <w:t>厦门万里石股份有限公司董事会</w:t>
      </w:r>
    </w:p>
    <w:p w:rsidR="006B5E7B" w:rsidRPr="007E7336" w:rsidRDefault="00E02389" w:rsidP="007206C3">
      <w:pPr>
        <w:wordWrap w:val="0"/>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20</w:t>
      </w:r>
      <w:r>
        <w:rPr>
          <w:rFonts w:ascii="Times New Roman" w:hAnsi="Times New Roman" w:hint="eastAsia"/>
          <w:color w:val="000000"/>
          <w:kern w:val="0"/>
          <w:sz w:val="24"/>
        </w:rPr>
        <w:t>1</w:t>
      </w:r>
      <w:r w:rsidR="00FC6402">
        <w:rPr>
          <w:rFonts w:ascii="Times New Roman" w:hAnsi="Times New Roman" w:hint="eastAsia"/>
          <w:color w:val="000000"/>
          <w:kern w:val="0"/>
          <w:sz w:val="24"/>
        </w:rPr>
        <w:t>9</w:t>
      </w:r>
      <w:r w:rsidR="00195808">
        <w:rPr>
          <w:rFonts w:ascii="Times New Roman" w:hAnsi="Times New Roman" w:hint="eastAsia"/>
          <w:color w:val="000000"/>
          <w:kern w:val="0"/>
          <w:sz w:val="24"/>
        </w:rPr>
        <w:t>年</w:t>
      </w:r>
      <w:r w:rsidR="006D013B">
        <w:rPr>
          <w:rFonts w:ascii="Times New Roman" w:hAnsi="Times New Roman" w:hint="eastAsia"/>
          <w:color w:val="000000"/>
          <w:kern w:val="0"/>
          <w:sz w:val="24"/>
        </w:rPr>
        <w:t>9</w:t>
      </w:r>
      <w:r w:rsidR="00195808">
        <w:rPr>
          <w:rFonts w:ascii="Times New Roman" w:hAnsi="Times New Roman" w:hint="eastAsia"/>
          <w:color w:val="000000"/>
          <w:kern w:val="0"/>
          <w:sz w:val="24"/>
        </w:rPr>
        <w:t>月</w:t>
      </w:r>
      <w:r w:rsidR="00E177DC" w:rsidRPr="007E7336">
        <w:rPr>
          <w:rFonts w:ascii="Times New Roman" w:hAnsi="Times New Roman" w:hint="eastAsia"/>
          <w:color w:val="000000"/>
          <w:kern w:val="0"/>
          <w:sz w:val="24"/>
        </w:rPr>
        <w:t>9</w:t>
      </w:r>
      <w:r w:rsidR="00195808">
        <w:rPr>
          <w:rFonts w:ascii="Times New Roman" w:hAnsi="Times New Roman" w:hint="eastAsia"/>
          <w:color w:val="000000"/>
          <w:kern w:val="0"/>
          <w:sz w:val="24"/>
        </w:rPr>
        <w:t>日</w:t>
      </w:r>
    </w:p>
    <w:sectPr w:rsidR="006B5E7B" w:rsidRPr="007E73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62" w:rsidRDefault="009F2262" w:rsidP="00D349EE">
      <w:r>
        <w:separator/>
      </w:r>
    </w:p>
  </w:endnote>
  <w:endnote w:type="continuationSeparator" w:id="0">
    <w:p w:rsidR="009F2262" w:rsidRDefault="009F2262" w:rsidP="00D3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62" w:rsidRDefault="009F2262" w:rsidP="00D349EE">
      <w:r>
        <w:separator/>
      </w:r>
    </w:p>
  </w:footnote>
  <w:footnote w:type="continuationSeparator" w:id="0">
    <w:p w:rsidR="009F2262" w:rsidRDefault="009F2262" w:rsidP="00D34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E92"/>
    <w:multiLevelType w:val="hybridMultilevel"/>
    <w:tmpl w:val="41F83182"/>
    <w:lvl w:ilvl="0" w:tplc="CF0A55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91"/>
    <w:rsid w:val="00007899"/>
    <w:rsid w:val="0001645E"/>
    <w:rsid w:val="00027399"/>
    <w:rsid w:val="000275A3"/>
    <w:rsid w:val="00027D88"/>
    <w:rsid w:val="000437C1"/>
    <w:rsid w:val="00044BA2"/>
    <w:rsid w:val="000633A0"/>
    <w:rsid w:val="00076AA7"/>
    <w:rsid w:val="00096402"/>
    <w:rsid w:val="000C3D42"/>
    <w:rsid w:val="000E5C90"/>
    <w:rsid w:val="001168B7"/>
    <w:rsid w:val="001443E6"/>
    <w:rsid w:val="0016135A"/>
    <w:rsid w:val="00191CD6"/>
    <w:rsid w:val="00195808"/>
    <w:rsid w:val="001A352F"/>
    <w:rsid w:val="001D3678"/>
    <w:rsid w:val="00212B34"/>
    <w:rsid w:val="002307B3"/>
    <w:rsid w:val="002307E1"/>
    <w:rsid w:val="00230DCA"/>
    <w:rsid w:val="00247DE2"/>
    <w:rsid w:val="00251EE8"/>
    <w:rsid w:val="0026098C"/>
    <w:rsid w:val="002A2B56"/>
    <w:rsid w:val="002B3A64"/>
    <w:rsid w:val="002B50D9"/>
    <w:rsid w:val="002D5069"/>
    <w:rsid w:val="002E738C"/>
    <w:rsid w:val="002F54E3"/>
    <w:rsid w:val="00302D47"/>
    <w:rsid w:val="00304D04"/>
    <w:rsid w:val="003249FF"/>
    <w:rsid w:val="0033362C"/>
    <w:rsid w:val="0034792F"/>
    <w:rsid w:val="0035122E"/>
    <w:rsid w:val="00367788"/>
    <w:rsid w:val="003725DB"/>
    <w:rsid w:val="0038415E"/>
    <w:rsid w:val="003E0B10"/>
    <w:rsid w:val="00407AC4"/>
    <w:rsid w:val="00412D8F"/>
    <w:rsid w:val="004308FF"/>
    <w:rsid w:val="00440C05"/>
    <w:rsid w:val="00462615"/>
    <w:rsid w:val="00474AAD"/>
    <w:rsid w:val="004A4F4B"/>
    <w:rsid w:val="004B1FA8"/>
    <w:rsid w:val="004C11D6"/>
    <w:rsid w:val="00501D01"/>
    <w:rsid w:val="00535BB4"/>
    <w:rsid w:val="00572BD4"/>
    <w:rsid w:val="00572CFF"/>
    <w:rsid w:val="00576317"/>
    <w:rsid w:val="00592B18"/>
    <w:rsid w:val="005A0A58"/>
    <w:rsid w:val="005A6256"/>
    <w:rsid w:val="005A66D2"/>
    <w:rsid w:val="005B4CD5"/>
    <w:rsid w:val="005D657C"/>
    <w:rsid w:val="005E25DB"/>
    <w:rsid w:val="005E7901"/>
    <w:rsid w:val="005F0B7C"/>
    <w:rsid w:val="005F2E33"/>
    <w:rsid w:val="005F64DA"/>
    <w:rsid w:val="00615DB1"/>
    <w:rsid w:val="00623E9A"/>
    <w:rsid w:val="00624A9B"/>
    <w:rsid w:val="00624D72"/>
    <w:rsid w:val="00642F6A"/>
    <w:rsid w:val="00657971"/>
    <w:rsid w:val="00663204"/>
    <w:rsid w:val="00663BA2"/>
    <w:rsid w:val="00670CB4"/>
    <w:rsid w:val="0067616D"/>
    <w:rsid w:val="00692B91"/>
    <w:rsid w:val="0069424E"/>
    <w:rsid w:val="006A5219"/>
    <w:rsid w:val="006B5632"/>
    <w:rsid w:val="006B5E7B"/>
    <w:rsid w:val="006C0789"/>
    <w:rsid w:val="006D013B"/>
    <w:rsid w:val="006D0EAB"/>
    <w:rsid w:val="006D55A3"/>
    <w:rsid w:val="006E71F9"/>
    <w:rsid w:val="006F4B0F"/>
    <w:rsid w:val="007056DA"/>
    <w:rsid w:val="007113AE"/>
    <w:rsid w:val="00712027"/>
    <w:rsid w:val="007206C3"/>
    <w:rsid w:val="00753A57"/>
    <w:rsid w:val="007A45F4"/>
    <w:rsid w:val="007D1F00"/>
    <w:rsid w:val="007E680A"/>
    <w:rsid w:val="007E7336"/>
    <w:rsid w:val="00812886"/>
    <w:rsid w:val="00815D6A"/>
    <w:rsid w:val="0083444B"/>
    <w:rsid w:val="008429CA"/>
    <w:rsid w:val="008654CD"/>
    <w:rsid w:val="00873736"/>
    <w:rsid w:val="00882151"/>
    <w:rsid w:val="008925A1"/>
    <w:rsid w:val="008A5E9B"/>
    <w:rsid w:val="008C04EB"/>
    <w:rsid w:val="008D3D99"/>
    <w:rsid w:val="008D7F60"/>
    <w:rsid w:val="00923CFC"/>
    <w:rsid w:val="0094405F"/>
    <w:rsid w:val="009476FA"/>
    <w:rsid w:val="00956E63"/>
    <w:rsid w:val="00957212"/>
    <w:rsid w:val="00962D85"/>
    <w:rsid w:val="00973868"/>
    <w:rsid w:val="009A5AB2"/>
    <w:rsid w:val="009B2E96"/>
    <w:rsid w:val="009C5689"/>
    <w:rsid w:val="009D272A"/>
    <w:rsid w:val="009F2262"/>
    <w:rsid w:val="009F2E71"/>
    <w:rsid w:val="00A00FEF"/>
    <w:rsid w:val="00A02955"/>
    <w:rsid w:val="00A14A40"/>
    <w:rsid w:val="00A314F5"/>
    <w:rsid w:val="00A42322"/>
    <w:rsid w:val="00A42E11"/>
    <w:rsid w:val="00A7553B"/>
    <w:rsid w:val="00A76CF8"/>
    <w:rsid w:val="00A77CD4"/>
    <w:rsid w:val="00AB0B1F"/>
    <w:rsid w:val="00AB6BBD"/>
    <w:rsid w:val="00AE3B84"/>
    <w:rsid w:val="00AF00C5"/>
    <w:rsid w:val="00AF025D"/>
    <w:rsid w:val="00AF0A2E"/>
    <w:rsid w:val="00B12A60"/>
    <w:rsid w:val="00B206EF"/>
    <w:rsid w:val="00B244B6"/>
    <w:rsid w:val="00B2766A"/>
    <w:rsid w:val="00B3019F"/>
    <w:rsid w:val="00B83C6B"/>
    <w:rsid w:val="00BA2F83"/>
    <w:rsid w:val="00BE257E"/>
    <w:rsid w:val="00BE415B"/>
    <w:rsid w:val="00BF3415"/>
    <w:rsid w:val="00BF67D8"/>
    <w:rsid w:val="00BF76F1"/>
    <w:rsid w:val="00C32622"/>
    <w:rsid w:val="00C500DF"/>
    <w:rsid w:val="00C52C97"/>
    <w:rsid w:val="00C54432"/>
    <w:rsid w:val="00C55A60"/>
    <w:rsid w:val="00C650CC"/>
    <w:rsid w:val="00C71C01"/>
    <w:rsid w:val="00CB2679"/>
    <w:rsid w:val="00CB2E9D"/>
    <w:rsid w:val="00CB459B"/>
    <w:rsid w:val="00CC0163"/>
    <w:rsid w:val="00CD61A4"/>
    <w:rsid w:val="00CD6C53"/>
    <w:rsid w:val="00CD7E0A"/>
    <w:rsid w:val="00D06581"/>
    <w:rsid w:val="00D1525C"/>
    <w:rsid w:val="00D21B7C"/>
    <w:rsid w:val="00D23742"/>
    <w:rsid w:val="00D31764"/>
    <w:rsid w:val="00D349EE"/>
    <w:rsid w:val="00D66C87"/>
    <w:rsid w:val="00D70E82"/>
    <w:rsid w:val="00D85380"/>
    <w:rsid w:val="00D86A34"/>
    <w:rsid w:val="00DA364A"/>
    <w:rsid w:val="00DB2F7C"/>
    <w:rsid w:val="00DC23EE"/>
    <w:rsid w:val="00DC4EAE"/>
    <w:rsid w:val="00DD184F"/>
    <w:rsid w:val="00DD1B94"/>
    <w:rsid w:val="00DF685D"/>
    <w:rsid w:val="00E02389"/>
    <w:rsid w:val="00E11A57"/>
    <w:rsid w:val="00E177DC"/>
    <w:rsid w:val="00E42846"/>
    <w:rsid w:val="00E62F18"/>
    <w:rsid w:val="00E75095"/>
    <w:rsid w:val="00E85733"/>
    <w:rsid w:val="00E90FD3"/>
    <w:rsid w:val="00EA702E"/>
    <w:rsid w:val="00EF57D6"/>
    <w:rsid w:val="00F20E4D"/>
    <w:rsid w:val="00F32AD9"/>
    <w:rsid w:val="00F3641C"/>
    <w:rsid w:val="00F40F54"/>
    <w:rsid w:val="00F416CA"/>
    <w:rsid w:val="00F45181"/>
    <w:rsid w:val="00F523AC"/>
    <w:rsid w:val="00F574CE"/>
    <w:rsid w:val="00F72B7F"/>
    <w:rsid w:val="00F81976"/>
    <w:rsid w:val="00F938AB"/>
    <w:rsid w:val="00F94DD7"/>
    <w:rsid w:val="00FC37D1"/>
    <w:rsid w:val="00FC6402"/>
    <w:rsid w:val="00FD7AF6"/>
    <w:rsid w:val="00FE4451"/>
    <w:rsid w:val="00FE4B3D"/>
    <w:rsid w:val="39BE2175"/>
    <w:rsid w:val="56186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99"/>
    <w:qFormat/>
    <w:pPr>
      <w:ind w:firstLineChars="200" w:firstLine="420"/>
    </w:pPr>
    <w:rPr>
      <w:rFonts w:ascii="Times New Roman" w:hAnsi="Times New Roman"/>
      <w:szCs w:val="20"/>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Char0">
    <w:name w:val="批注文字 Char"/>
    <w:basedOn w:val="a0"/>
    <w:link w:val="a4"/>
    <w:uiPriority w:val="99"/>
    <w:semiHidden/>
    <w:rPr>
      <w:rFonts w:ascii="Calibri" w:eastAsia="宋体" w:hAnsi="Calibri" w:cs="Times New Roman"/>
      <w:szCs w:val="24"/>
    </w:rPr>
  </w:style>
  <w:style w:type="character" w:customStyle="1" w:styleId="Char">
    <w:name w:val="批注主题 Char"/>
    <w:basedOn w:val="Char0"/>
    <w:link w:val="a3"/>
    <w:uiPriority w:val="99"/>
    <w:semiHidden/>
    <w:qFormat/>
    <w:rPr>
      <w:rFonts w:ascii="Calibri" w:eastAsia="宋体" w:hAnsi="Calibri" w:cs="Times New Roman"/>
      <w:b/>
      <w:bCs/>
      <w:szCs w:val="24"/>
    </w:rPr>
  </w:style>
  <w:style w:type="paragraph" w:styleId="aa">
    <w:name w:val="List Paragraph"/>
    <w:basedOn w:val="a"/>
    <w:uiPriority w:val="99"/>
    <w:unhideWhenUsed/>
    <w:rsid w:val="00C71C01"/>
    <w:pPr>
      <w:ind w:firstLineChars="200" w:firstLine="420"/>
    </w:pPr>
  </w:style>
  <w:style w:type="paragraph" w:customStyle="1" w:styleId="Default">
    <w:name w:val="Default"/>
    <w:rsid w:val="0094405F"/>
    <w:pPr>
      <w:widowControl w:val="0"/>
      <w:autoSpaceDE w:val="0"/>
      <w:autoSpaceDN w:val="0"/>
      <w:adjustRightInd w:val="0"/>
    </w:pPr>
    <w:rPr>
      <w:rFonts w:ascii="仿宋_GB2312" w:eastAsia="仿宋_GB2312" w:hAnsi="Times New Roman" w:cs="仿宋_GB2312"/>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99"/>
    <w:qFormat/>
    <w:pPr>
      <w:ind w:firstLineChars="200" w:firstLine="420"/>
    </w:pPr>
    <w:rPr>
      <w:rFonts w:ascii="Times New Roman" w:hAnsi="Times New Roman"/>
      <w:szCs w:val="20"/>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Char0">
    <w:name w:val="批注文字 Char"/>
    <w:basedOn w:val="a0"/>
    <w:link w:val="a4"/>
    <w:uiPriority w:val="99"/>
    <w:semiHidden/>
    <w:rPr>
      <w:rFonts w:ascii="Calibri" w:eastAsia="宋体" w:hAnsi="Calibri" w:cs="Times New Roman"/>
      <w:szCs w:val="24"/>
    </w:rPr>
  </w:style>
  <w:style w:type="character" w:customStyle="1" w:styleId="Char">
    <w:name w:val="批注主题 Char"/>
    <w:basedOn w:val="Char0"/>
    <w:link w:val="a3"/>
    <w:uiPriority w:val="99"/>
    <w:semiHidden/>
    <w:qFormat/>
    <w:rPr>
      <w:rFonts w:ascii="Calibri" w:eastAsia="宋体" w:hAnsi="Calibri" w:cs="Times New Roman"/>
      <w:b/>
      <w:bCs/>
      <w:szCs w:val="24"/>
    </w:rPr>
  </w:style>
  <w:style w:type="paragraph" w:styleId="aa">
    <w:name w:val="List Paragraph"/>
    <w:basedOn w:val="a"/>
    <w:uiPriority w:val="99"/>
    <w:unhideWhenUsed/>
    <w:rsid w:val="00C71C01"/>
    <w:pPr>
      <w:ind w:firstLineChars="200" w:firstLine="420"/>
    </w:pPr>
  </w:style>
  <w:style w:type="paragraph" w:customStyle="1" w:styleId="Default">
    <w:name w:val="Default"/>
    <w:rsid w:val="0094405F"/>
    <w:pPr>
      <w:widowControl w:val="0"/>
      <w:autoSpaceDE w:val="0"/>
      <w:autoSpaceDN w:val="0"/>
      <w:adjustRightInd w:val="0"/>
    </w:pPr>
    <w:rPr>
      <w:rFonts w:ascii="仿宋_GB2312" w:eastAsia="仿宋_GB2312" w:hAnsi="Times New Roman" w:cs="仿宋_GB2312"/>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466E6-0D0E-459D-AB87-EC951EF4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8</Pages>
  <Words>950</Words>
  <Characters>5415</Characters>
  <Application>Microsoft Office Word</Application>
  <DocSecurity>0</DocSecurity>
  <Lines>45</Lines>
  <Paragraphs>12</Paragraphs>
  <ScaleCrop>false</ScaleCrop>
  <Company>Lenovo</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邓金银</cp:lastModifiedBy>
  <cp:revision>131</cp:revision>
  <dcterms:created xsi:type="dcterms:W3CDTF">2016-12-28T03:58:00Z</dcterms:created>
  <dcterms:modified xsi:type="dcterms:W3CDTF">2019-09-08T14:31:00Z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