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81CD" w14:textId="06836B0C" w:rsidR="00596908" w:rsidRDefault="00C23E02">
      <w:pPr>
        <w:spacing w:line="360" w:lineRule="auto"/>
        <w:jc w:val="center"/>
        <w:rPr>
          <w:rFonts w:ascii="Times New Roman" w:hAnsi="Times New Roman"/>
          <w:kern w:val="0"/>
          <w:sz w:val="24"/>
        </w:rPr>
      </w:pPr>
      <w:r>
        <w:rPr>
          <w:rFonts w:ascii="Times New Roman" w:hAnsi="Times New Roman" w:hint="eastAsia"/>
          <w:kern w:val="0"/>
          <w:sz w:val="24"/>
        </w:rPr>
        <w:t>证券代码：</w:t>
      </w:r>
      <w:r>
        <w:rPr>
          <w:rFonts w:ascii="Times New Roman" w:hAnsi="Times New Roman"/>
          <w:kern w:val="0"/>
          <w:sz w:val="24"/>
        </w:rPr>
        <w:t xml:space="preserve">002785          </w:t>
      </w:r>
      <w:r>
        <w:rPr>
          <w:rFonts w:ascii="Times New Roman" w:hAnsi="Times New Roman" w:hint="eastAsia"/>
          <w:kern w:val="0"/>
          <w:sz w:val="24"/>
        </w:rPr>
        <w:t>证券简称：万里石</w:t>
      </w:r>
      <w:r>
        <w:rPr>
          <w:rFonts w:ascii="Times New Roman" w:hAnsi="Times New Roman" w:hint="eastAsia"/>
          <w:kern w:val="0"/>
          <w:sz w:val="24"/>
        </w:rPr>
        <w:t xml:space="preserve">        </w:t>
      </w:r>
      <w:r>
        <w:rPr>
          <w:rFonts w:ascii="Times New Roman" w:hAnsi="Times New Roman" w:hint="eastAsia"/>
          <w:kern w:val="0"/>
          <w:sz w:val="24"/>
        </w:rPr>
        <w:t>公告编号：</w:t>
      </w:r>
      <w:r>
        <w:rPr>
          <w:rFonts w:ascii="Times New Roman" w:hAnsi="Times New Roman"/>
          <w:kern w:val="0"/>
          <w:sz w:val="24"/>
        </w:rPr>
        <w:t>20</w:t>
      </w:r>
      <w:r>
        <w:rPr>
          <w:rFonts w:ascii="Times New Roman" w:hAnsi="Times New Roman" w:hint="eastAsia"/>
          <w:kern w:val="0"/>
          <w:sz w:val="24"/>
        </w:rPr>
        <w:t>22</w:t>
      </w:r>
      <w:r>
        <w:rPr>
          <w:rFonts w:ascii="Times New Roman" w:hAnsi="Times New Roman"/>
          <w:kern w:val="0"/>
          <w:sz w:val="24"/>
        </w:rPr>
        <w:t>-</w:t>
      </w:r>
      <w:r>
        <w:rPr>
          <w:rFonts w:ascii="Times New Roman" w:hAnsi="Times New Roman" w:hint="eastAsia"/>
          <w:kern w:val="0"/>
          <w:sz w:val="24"/>
        </w:rPr>
        <w:t>0</w:t>
      </w:r>
      <w:r w:rsidR="00FC1D84">
        <w:rPr>
          <w:rFonts w:ascii="Times New Roman" w:hAnsi="Times New Roman"/>
          <w:kern w:val="0"/>
          <w:sz w:val="24"/>
        </w:rPr>
        <w:t>78</w:t>
      </w:r>
    </w:p>
    <w:p w14:paraId="04F8838C" w14:textId="77777777" w:rsidR="00596908" w:rsidRDefault="00C23E02">
      <w:pPr>
        <w:spacing w:beforeLines="50" w:before="156" w:line="360" w:lineRule="auto"/>
        <w:jc w:val="center"/>
        <w:rPr>
          <w:rFonts w:asciiTheme="minorEastAsia" w:hAnsiTheme="minorEastAsia"/>
          <w:kern w:val="0"/>
          <w:sz w:val="36"/>
          <w:szCs w:val="36"/>
        </w:rPr>
      </w:pPr>
      <w:r>
        <w:rPr>
          <w:rFonts w:asciiTheme="minorEastAsia" w:hAnsiTheme="minorEastAsia" w:hint="eastAsia"/>
          <w:kern w:val="0"/>
          <w:sz w:val="36"/>
          <w:szCs w:val="36"/>
        </w:rPr>
        <w:t>厦门万里石股份有限公司</w:t>
      </w:r>
    </w:p>
    <w:p w14:paraId="4CDB3ED1" w14:textId="77777777" w:rsidR="00596908" w:rsidRDefault="00C23E02">
      <w:pPr>
        <w:spacing w:afterLines="50" w:after="156" w:line="360" w:lineRule="auto"/>
        <w:jc w:val="center"/>
        <w:rPr>
          <w:rFonts w:asciiTheme="minorEastAsia" w:hAnsiTheme="minorEastAsia"/>
          <w:kern w:val="0"/>
          <w:sz w:val="36"/>
          <w:szCs w:val="36"/>
        </w:rPr>
      </w:pPr>
      <w:r>
        <w:rPr>
          <w:rFonts w:asciiTheme="minorEastAsia" w:hAnsiTheme="minorEastAsia"/>
          <w:kern w:val="0"/>
          <w:sz w:val="36"/>
          <w:szCs w:val="36"/>
        </w:rPr>
        <w:t>关于2021年度非公开发行A股股票预案修订情况的公告</w:t>
      </w:r>
    </w:p>
    <w:p w14:paraId="1205B12B" w14:textId="77777777" w:rsidR="00596908" w:rsidRDefault="00C23E0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00" w:firstLine="480"/>
        <w:jc w:val="left"/>
        <w:rPr>
          <w:rFonts w:ascii="Times New Roman" w:hAnsi="Times New Roman"/>
          <w:sz w:val="24"/>
        </w:rPr>
      </w:pPr>
      <w:r>
        <w:rPr>
          <w:rFonts w:ascii="Times New Roman" w:hAnsi="Times New Roman" w:hint="eastAsia"/>
          <w:kern w:val="0"/>
          <w:sz w:val="24"/>
        </w:rPr>
        <w:t>本公司及董事会全体成员保证信息披露的内容真实、准确和完整，没有虚假记载、误导性陈述或者重大遗漏。</w:t>
      </w:r>
    </w:p>
    <w:p w14:paraId="7F6A7EE8" w14:textId="27A0C049" w:rsidR="00596908" w:rsidRDefault="00C23E02">
      <w:pPr>
        <w:spacing w:beforeLines="50" w:before="156" w:line="360" w:lineRule="auto"/>
        <w:ind w:firstLineChars="200" w:firstLine="480"/>
        <w:rPr>
          <w:rFonts w:ascii="Times New Roman" w:eastAsia="宋体" w:hAnsi="Times New Roman" w:cs="Times New Roman"/>
          <w:kern w:val="0"/>
          <w:sz w:val="24"/>
          <w:szCs w:val="20"/>
        </w:rPr>
      </w:pPr>
      <w:r>
        <w:rPr>
          <w:rFonts w:ascii="Times New Roman" w:hAnsi="Times New Roman" w:hint="eastAsia"/>
          <w:kern w:val="0"/>
          <w:sz w:val="24"/>
        </w:rPr>
        <w:t>厦门万里石股份有限公司</w:t>
      </w:r>
      <w:r>
        <w:rPr>
          <w:rFonts w:ascii="Times New Roman" w:eastAsia="宋体" w:hAnsi="Times New Roman" w:cs="Times New Roman" w:hint="eastAsia"/>
          <w:kern w:val="0"/>
          <w:sz w:val="24"/>
          <w:szCs w:val="20"/>
        </w:rPr>
        <w:t>（以下简称“公司”）</w:t>
      </w:r>
      <w:r>
        <w:rPr>
          <w:rFonts w:ascii="Times New Roman" w:eastAsia="宋体" w:hAnsi="Times New Roman" w:cs="Times New Roman"/>
          <w:kern w:val="0"/>
          <w:sz w:val="24"/>
          <w:szCs w:val="20"/>
        </w:rPr>
        <w:t>第</w:t>
      </w:r>
      <w:r>
        <w:rPr>
          <w:rFonts w:ascii="Times New Roman" w:eastAsia="宋体" w:hAnsi="Times New Roman" w:cs="Times New Roman" w:hint="eastAsia"/>
          <w:kern w:val="0"/>
          <w:sz w:val="24"/>
          <w:szCs w:val="20"/>
        </w:rPr>
        <w:t>四</w:t>
      </w:r>
      <w:r>
        <w:rPr>
          <w:rFonts w:ascii="Times New Roman" w:eastAsia="宋体" w:hAnsi="Times New Roman" w:cs="Times New Roman"/>
          <w:kern w:val="0"/>
          <w:sz w:val="24"/>
          <w:szCs w:val="20"/>
        </w:rPr>
        <w:t>届董事会第</w:t>
      </w:r>
      <w:r>
        <w:rPr>
          <w:rFonts w:ascii="Times New Roman" w:eastAsia="宋体" w:hAnsi="Times New Roman" w:cs="Times New Roman" w:hint="eastAsia"/>
          <w:kern w:val="0"/>
          <w:sz w:val="24"/>
          <w:szCs w:val="20"/>
        </w:rPr>
        <w:t>二十一次</w:t>
      </w:r>
      <w:r>
        <w:rPr>
          <w:rFonts w:ascii="Times New Roman" w:eastAsia="宋体" w:hAnsi="Times New Roman" w:cs="Times New Roman"/>
          <w:kern w:val="0"/>
          <w:sz w:val="24"/>
          <w:szCs w:val="20"/>
        </w:rPr>
        <w:t>会议</w:t>
      </w:r>
      <w:r>
        <w:rPr>
          <w:rFonts w:ascii="Times New Roman" w:eastAsia="宋体" w:hAnsi="Times New Roman" w:cs="Times New Roman" w:hint="eastAsia"/>
          <w:kern w:val="0"/>
          <w:sz w:val="24"/>
          <w:szCs w:val="20"/>
        </w:rPr>
        <w:t>、</w:t>
      </w:r>
      <w:r>
        <w:rPr>
          <w:rFonts w:ascii="Times New Roman" w:eastAsia="宋体" w:hAnsi="Times New Roman" w:cs="Times New Roman" w:hint="eastAsia"/>
          <w:kern w:val="0"/>
          <w:sz w:val="24"/>
          <w:szCs w:val="20"/>
        </w:rPr>
        <w:t>2021</w:t>
      </w:r>
      <w:r>
        <w:rPr>
          <w:rFonts w:ascii="Times New Roman" w:eastAsia="宋体" w:hAnsi="Times New Roman" w:cs="Times New Roman" w:hint="eastAsia"/>
          <w:kern w:val="0"/>
          <w:sz w:val="24"/>
          <w:szCs w:val="20"/>
        </w:rPr>
        <w:t>年第三次临时股东大会</w:t>
      </w:r>
      <w:r w:rsidR="00474CAB">
        <w:rPr>
          <w:rFonts w:ascii="Times New Roman" w:eastAsia="宋体" w:hAnsi="Times New Roman" w:cs="Times New Roman" w:hint="eastAsia"/>
          <w:kern w:val="0"/>
          <w:sz w:val="24"/>
          <w:szCs w:val="20"/>
        </w:rPr>
        <w:t>、</w:t>
      </w:r>
      <w:r w:rsidR="00474CAB">
        <w:rPr>
          <w:rFonts w:ascii="Times New Roman" w:eastAsia="宋体" w:hAnsi="Times New Roman" w:cs="Times New Roman" w:hint="eastAsia"/>
          <w:kern w:val="0"/>
          <w:sz w:val="24"/>
          <w:szCs w:val="20"/>
        </w:rPr>
        <w:t>第四届董事会第二十九次会议、</w:t>
      </w:r>
      <w:r w:rsidR="00474CAB" w:rsidRPr="00FC1D84">
        <w:rPr>
          <w:rFonts w:ascii="Times New Roman" w:eastAsia="宋体" w:hAnsi="Times New Roman" w:cs="Times New Roman" w:hint="eastAsia"/>
          <w:kern w:val="0"/>
          <w:sz w:val="24"/>
          <w:szCs w:val="20"/>
        </w:rPr>
        <w:t>2021</w:t>
      </w:r>
      <w:r w:rsidR="00474CAB" w:rsidRPr="00FC1D84">
        <w:rPr>
          <w:rFonts w:ascii="Times New Roman" w:eastAsia="宋体" w:hAnsi="Times New Roman" w:cs="Times New Roman" w:hint="eastAsia"/>
          <w:kern w:val="0"/>
          <w:sz w:val="24"/>
          <w:szCs w:val="20"/>
        </w:rPr>
        <w:t>年</w:t>
      </w:r>
      <w:r w:rsidR="00474CAB">
        <w:rPr>
          <w:rFonts w:ascii="Times New Roman" w:eastAsia="宋体" w:hAnsi="Times New Roman" w:cs="Times New Roman" w:hint="eastAsia"/>
          <w:kern w:val="0"/>
          <w:sz w:val="24"/>
          <w:szCs w:val="20"/>
        </w:rPr>
        <w:t>年度</w:t>
      </w:r>
      <w:r w:rsidR="00474CAB" w:rsidRPr="00FC1D84">
        <w:rPr>
          <w:rFonts w:ascii="Times New Roman" w:eastAsia="宋体" w:hAnsi="Times New Roman" w:cs="Times New Roman" w:hint="eastAsia"/>
          <w:kern w:val="0"/>
          <w:sz w:val="24"/>
          <w:szCs w:val="20"/>
        </w:rPr>
        <w:t>股东大会</w:t>
      </w:r>
      <w:r>
        <w:rPr>
          <w:rFonts w:ascii="Times New Roman" w:eastAsia="宋体" w:hAnsi="Times New Roman" w:cs="Times New Roman"/>
          <w:kern w:val="0"/>
          <w:sz w:val="24"/>
          <w:szCs w:val="20"/>
        </w:rPr>
        <w:t>审议通过了公司</w:t>
      </w:r>
      <w:r>
        <w:rPr>
          <w:rFonts w:ascii="Times New Roman" w:eastAsia="宋体" w:hAnsi="Times New Roman" w:cs="Times New Roman"/>
          <w:kern w:val="0"/>
          <w:sz w:val="24"/>
          <w:szCs w:val="20"/>
        </w:rPr>
        <w:t>2021</w:t>
      </w:r>
      <w:r>
        <w:rPr>
          <w:rFonts w:ascii="Times New Roman" w:eastAsia="宋体" w:hAnsi="Times New Roman" w:cs="Times New Roman"/>
          <w:kern w:val="0"/>
          <w:sz w:val="24"/>
          <w:szCs w:val="20"/>
        </w:rPr>
        <w:t>年度非公开发行</w:t>
      </w:r>
      <w:r w:rsidR="00474CAB">
        <w:rPr>
          <w:rFonts w:ascii="Times New Roman" w:eastAsia="宋体" w:hAnsi="Times New Roman" w:cs="Times New Roman" w:hint="eastAsia"/>
          <w:kern w:val="0"/>
          <w:sz w:val="24"/>
          <w:szCs w:val="20"/>
        </w:rPr>
        <w:t>A</w:t>
      </w:r>
      <w:r w:rsidR="00474CAB">
        <w:rPr>
          <w:rFonts w:ascii="Times New Roman" w:eastAsia="宋体" w:hAnsi="Times New Roman" w:cs="Times New Roman" w:hint="eastAsia"/>
          <w:kern w:val="0"/>
          <w:sz w:val="24"/>
          <w:szCs w:val="20"/>
        </w:rPr>
        <w:t>股</w:t>
      </w:r>
      <w:r>
        <w:rPr>
          <w:rFonts w:ascii="Times New Roman" w:eastAsia="宋体" w:hAnsi="Times New Roman" w:cs="Times New Roman"/>
          <w:kern w:val="0"/>
          <w:sz w:val="24"/>
          <w:szCs w:val="20"/>
        </w:rPr>
        <w:t>股票的相关议案</w:t>
      </w:r>
      <w:r w:rsidR="00FC1D84">
        <w:rPr>
          <w:rFonts w:ascii="Times New Roman" w:eastAsia="宋体" w:hAnsi="Times New Roman" w:cs="Times New Roman" w:hint="eastAsia"/>
          <w:kern w:val="0"/>
          <w:sz w:val="24"/>
          <w:szCs w:val="20"/>
        </w:rPr>
        <w:t>，</w:t>
      </w:r>
      <w:r w:rsidR="00FC1D84" w:rsidRPr="00FC1D84">
        <w:rPr>
          <w:rFonts w:ascii="Times New Roman" w:eastAsia="宋体" w:hAnsi="Times New Roman" w:cs="Times New Roman" w:hint="eastAsia"/>
          <w:kern w:val="0"/>
          <w:sz w:val="24"/>
          <w:szCs w:val="20"/>
        </w:rPr>
        <w:t>第四届董事会第</w:t>
      </w:r>
      <w:r w:rsidR="00FC1D84">
        <w:rPr>
          <w:rFonts w:ascii="Times New Roman" w:eastAsia="宋体" w:hAnsi="Times New Roman" w:cs="Times New Roman" w:hint="eastAsia"/>
          <w:kern w:val="0"/>
          <w:sz w:val="24"/>
          <w:szCs w:val="20"/>
        </w:rPr>
        <w:t>三十四</w:t>
      </w:r>
      <w:r w:rsidR="00FC1D84" w:rsidRPr="00FC1D84">
        <w:rPr>
          <w:rFonts w:ascii="Times New Roman" w:eastAsia="宋体" w:hAnsi="Times New Roman" w:cs="Times New Roman" w:hint="eastAsia"/>
          <w:kern w:val="0"/>
          <w:sz w:val="24"/>
          <w:szCs w:val="20"/>
        </w:rPr>
        <w:t>次会议和第四届监事会第二十</w:t>
      </w:r>
      <w:r w:rsidR="00CA1CF0">
        <w:rPr>
          <w:rFonts w:ascii="Times New Roman" w:eastAsia="宋体" w:hAnsi="Times New Roman" w:cs="Times New Roman" w:hint="eastAsia"/>
          <w:kern w:val="0"/>
          <w:sz w:val="24"/>
          <w:szCs w:val="20"/>
        </w:rPr>
        <w:t>七</w:t>
      </w:r>
      <w:r w:rsidR="00FC1D84" w:rsidRPr="00FC1D84">
        <w:rPr>
          <w:rFonts w:ascii="Times New Roman" w:eastAsia="宋体" w:hAnsi="Times New Roman" w:cs="Times New Roman" w:hint="eastAsia"/>
          <w:kern w:val="0"/>
          <w:sz w:val="24"/>
          <w:szCs w:val="20"/>
        </w:rPr>
        <w:t>次会议审议通过了《关于调整公司</w:t>
      </w:r>
      <w:r w:rsidR="00FC1D84" w:rsidRPr="00FC1D84">
        <w:rPr>
          <w:rFonts w:ascii="Times New Roman" w:eastAsia="宋体" w:hAnsi="Times New Roman" w:cs="Times New Roman" w:hint="eastAsia"/>
          <w:kern w:val="0"/>
          <w:sz w:val="24"/>
          <w:szCs w:val="20"/>
        </w:rPr>
        <w:t>&lt;2021</w:t>
      </w:r>
      <w:r w:rsidR="00FC1D84" w:rsidRPr="00FC1D84">
        <w:rPr>
          <w:rFonts w:ascii="Times New Roman" w:eastAsia="宋体" w:hAnsi="Times New Roman" w:cs="Times New Roman" w:hint="eastAsia"/>
          <w:kern w:val="0"/>
          <w:sz w:val="24"/>
          <w:szCs w:val="20"/>
        </w:rPr>
        <w:t>年度非公开发行</w:t>
      </w:r>
      <w:r w:rsidR="00FC1D84" w:rsidRPr="00FC1D84">
        <w:rPr>
          <w:rFonts w:ascii="Times New Roman" w:eastAsia="宋体" w:hAnsi="Times New Roman" w:cs="Times New Roman" w:hint="eastAsia"/>
          <w:kern w:val="0"/>
          <w:sz w:val="24"/>
          <w:szCs w:val="20"/>
        </w:rPr>
        <w:t>A</w:t>
      </w:r>
      <w:r w:rsidR="00FC1D84" w:rsidRPr="00FC1D84">
        <w:rPr>
          <w:rFonts w:ascii="Times New Roman" w:eastAsia="宋体" w:hAnsi="Times New Roman" w:cs="Times New Roman" w:hint="eastAsia"/>
          <w:kern w:val="0"/>
          <w:sz w:val="24"/>
          <w:szCs w:val="20"/>
        </w:rPr>
        <w:t>股股票方案</w:t>
      </w:r>
      <w:r w:rsidR="00FC1D84" w:rsidRPr="00FC1D84">
        <w:rPr>
          <w:rFonts w:ascii="Times New Roman" w:eastAsia="宋体" w:hAnsi="Times New Roman" w:cs="Times New Roman" w:hint="eastAsia"/>
          <w:kern w:val="0"/>
          <w:sz w:val="24"/>
          <w:szCs w:val="20"/>
        </w:rPr>
        <w:t>&gt;</w:t>
      </w:r>
      <w:r w:rsidR="00FC1D84" w:rsidRPr="00FC1D84">
        <w:rPr>
          <w:rFonts w:ascii="Times New Roman" w:eastAsia="宋体" w:hAnsi="Times New Roman" w:cs="Times New Roman" w:hint="eastAsia"/>
          <w:kern w:val="0"/>
          <w:sz w:val="24"/>
          <w:szCs w:val="20"/>
        </w:rPr>
        <w:t>的议案》、《关于修订公司</w:t>
      </w:r>
      <w:r w:rsidR="00FC1D84" w:rsidRPr="00FC1D84">
        <w:rPr>
          <w:rFonts w:ascii="Times New Roman" w:eastAsia="宋体" w:hAnsi="Times New Roman" w:cs="Times New Roman" w:hint="eastAsia"/>
          <w:kern w:val="0"/>
          <w:sz w:val="24"/>
          <w:szCs w:val="20"/>
        </w:rPr>
        <w:t>&lt;2021</w:t>
      </w:r>
      <w:r w:rsidR="00FC1D84" w:rsidRPr="00FC1D84">
        <w:rPr>
          <w:rFonts w:ascii="Times New Roman" w:eastAsia="宋体" w:hAnsi="Times New Roman" w:cs="Times New Roman" w:hint="eastAsia"/>
          <w:kern w:val="0"/>
          <w:sz w:val="24"/>
          <w:szCs w:val="20"/>
        </w:rPr>
        <w:t>年度非公开发行</w:t>
      </w:r>
      <w:r w:rsidR="00FC1D84" w:rsidRPr="00FC1D84">
        <w:rPr>
          <w:rFonts w:ascii="Times New Roman" w:eastAsia="宋体" w:hAnsi="Times New Roman" w:cs="Times New Roman" w:hint="eastAsia"/>
          <w:kern w:val="0"/>
          <w:sz w:val="24"/>
          <w:szCs w:val="20"/>
        </w:rPr>
        <w:t>A</w:t>
      </w:r>
      <w:r w:rsidR="00FC1D84" w:rsidRPr="00FC1D84">
        <w:rPr>
          <w:rFonts w:ascii="Times New Roman" w:eastAsia="宋体" w:hAnsi="Times New Roman" w:cs="Times New Roman" w:hint="eastAsia"/>
          <w:kern w:val="0"/>
          <w:sz w:val="24"/>
          <w:szCs w:val="20"/>
        </w:rPr>
        <w:t>股股票预案</w:t>
      </w:r>
      <w:r w:rsidR="00FC1D84" w:rsidRPr="00FC1D84">
        <w:rPr>
          <w:rFonts w:ascii="Times New Roman" w:eastAsia="宋体" w:hAnsi="Times New Roman" w:cs="Times New Roman" w:hint="eastAsia"/>
          <w:kern w:val="0"/>
          <w:sz w:val="24"/>
          <w:szCs w:val="20"/>
        </w:rPr>
        <w:t>&gt;</w:t>
      </w:r>
      <w:r w:rsidR="00FC1D84" w:rsidRPr="00FC1D84">
        <w:rPr>
          <w:rFonts w:ascii="Times New Roman" w:eastAsia="宋体" w:hAnsi="Times New Roman" w:cs="Times New Roman" w:hint="eastAsia"/>
          <w:kern w:val="0"/>
          <w:sz w:val="24"/>
          <w:szCs w:val="20"/>
        </w:rPr>
        <w:t>的议案》、《关于修订公司</w:t>
      </w:r>
      <w:r w:rsidR="00FC1D84" w:rsidRPr="00FC1D84">
        <w:rPr>
          <w:rFonts w:ascii="Times New Roman" w:eastAsia="宋体" w:hAnsi="Times New Roman" w:cs="Times New Roman" w:hint="eastAsia"/>
          <w:kern w:val="0"/>
          <w:sz w:val="24"/>
          <w:szCs w:val="20"/>
        </w:rPr>
        <w:t>&lt;2021</w:t>
      </w:r>
      <w:r w:rsidR="00FC1D84" w:rsidRPr="00FC1D84">
        <w:rPr>
          <w:rFonts w:ascii="Times New Roman" w:eastAsia="宋体" w:hAnsi="Times New Roman" w:cs="Times New Roman" w:hint="eastAsia"/>
          <w:kern w:val="0"/>
          <w:sz w:val="24"/>
          <w:szCs w:val="20"/>
        </w:rPr>
        <w:t>年度非公开发行</w:t>
      </w:r>
      <w:r w:rsidR="00FC1D84" w:rsidRPr="00FC1D84">
        <w:rPr>
          <w:rFonts w:ascii="Times New Roman" w:eastAsia="宋体" w:hAnsi="Times New Roman" w:cs="Times New Roman" w:hint="eastAsia"/>
          <w:kern w:val="0"/>
          <w:sz w:val="24"/>
          <w:szCs w:val="20"/>
        </w:rPr>
        <w:t>A</w:t>
      </w:r>
      <w:r w:rsidR="00FC1D84" w:rsidRPr="00FC1D84">
        <w:rPr>
          <w:rFonts w:ascii="Times New Roman" w:eastAsia="宋体" w:hAnsi="Times New Roman" w:cs="Times New Roman" w:hint="eastAsia"/>
          <w:kern w:val="0"/>
          <w:sz w:val="24"/>
          <w:szCs w:val="20"/>
        </w:rPr>
        <w:t>股股票募集资金使用可行性分析报告</w:t>
      </w:r>
      <w:r w:rsidR="00FC1D84" w:rsidRPr="00FC1D84">
        <w:rPr>
          <w:rFonts w:ascii="Times New Roman" w:eastAsia="宋体" w:hAnsi="Times New Roman" w:cs="Times New Roman" w:hint="eastAsia"/>
          <w:kern w:val="0"/>
          <w:sz w:val="24"/>
          <w:szCs w:val="20"/>
        </w:rPr>
        <w:t>&gt;</w:t>
      </w:r>
      <w:r w:rsidR="00FC1D84" w:rsidRPr="00FC1D84">
        <w:rPr>
          <w:rFonts w:ascii="Times New Roman" w:eastAsia="宋体" w:hAnsi="Times New Roman" w:cs="Times New Roman" w:hint="eastAsia"/>
          <w:kern w:val="0"/>
          <w:sz w:val="24"/>
          <w:szCs w:val="20"/>
        </w:rPr>
        <w:t>的议案》、《关于修订公司</w:t>
      </w:r>
      <w:r w:rsidR="00FC1D84" w:rsidRPr="00FC1D84">
        <w:rPr>
          <w:rFonts w:ascii="Times New Roman" w:eastAsia="宋体" w:hAnsi="Times New Roman" w:cs="Times New Roman" w:hint="eastAsia"/>
          <w:kern w:val="0"/>
          <w:sz w:val="24"/>
          <w:szCs w:val="20"/>
        </w:rPr>
        <w:t>&lt;2021</w:t>
      </w:r>
      <w:r w:rsidR="00FC1D84" w:rsidRPr="00FC1D84">
        <w:rPr>
          <w:rFonts w:ascii="Times New Roman" w:eastAsia="宋体" w:hAnsi="Times New Roman" w:cs="Times New Roman" w:hint="eastAsia"/>
          <w:kern w:val="0"/>
          <w:sz w:val="24"/>
          <w:szCs w:val="20"/>
        </w:rPr>
        <w:t>年度非公开发行股票摊薄即期回报、填补措施及相关承诺</w:t>
      </w:r>
      <w:r w:rsidR="00FC1D84" w:rsidRPr="00FC1D84">
        <w:rPr>
          <w:rFonts w:ascii="Times New Roman" w:eastAsia="宋体" w:hAnsi="Times New Roman" w:cs="Times New Roman" w:hint="eastAsia"/>
          <w:kern w:val="0"/>
          <w:sz w:val="24"/>
          <w:szCs w:val="20"/>
        </w:rPr>
        <w:t>&gt;</w:t>
      </w:r>
      <w:r w:rsidR="00FC1D84" w:rsidRPr="00FC1D84">
        <w:rPr>
          <w:rFonts w:ascii="Times New Roman" w:eastAsia="宋体" w:hAnsi="Times New Roman" w:cs="Times New Roman" w:hint="eastAsia"/>
          <w:kern w:val="0"/>
          <w:sz w:val="24"/>
          <w:szCs w:val="20"/>
        </w:rPr>
        <w:t>的议案》、《关于公司与特定对象签署</w:t>
      </w:r>
      <w:r w:rsidR="00FC1D84" w:rsidRPr="00FC1D84">
        <w:rPr>
          <w:rFonts w:ascii="Times New Roman" w:eastAsia="宋体" w:hAnsi="Times New Roman" w:cs="Times New Roman" w:hint="eastAsia"/>
          <w:kern w:val="0"/>
          <w:sz w:val="24"/>
          <w:szCs w:val="20"/>
        </w:rPr>
        <w:t>&lt;</w:t>
      </w:r>
      <w:r w:rsidR="00FC1D84" w:rsidRPr="00FC1D84">
        <w:rPr>
          <w:rFonts w:ascii="Times New Roman" w:eastAsia="宋体" w:hAnsi="Times New Roman" w:cs="Times New Roman" w:hint="eastAsia"/>
          <w:kern w:val="0"/>
          <w:sz w:val="24"/>
          <w:szCs w:val="20"/>
        </w:rPr>
        <w:t>关于厦门万里石股份有限公司非公开发行股票之附条件生效的股票认购协议之补充协议</w:t>
      </w:r>
      <w:r w:rsidR="00CA1CF0">
        <w:rPr>
          <w:rFonts w:ascii="Times New Roman" w:eastAsia="宋体" w:hAnsi="Times New Roman" w:cs="Times New Roman" w:hint="eastAsia"/>
          <w:kern w:val="0"/>
          <w:sz w:val="24"/>
          <w:szCs w:val="20"/>
        </w:rPr>
        <w:t>（二）</w:t>
      </w:r>
      <w:r w:rsidR="00FC1D84" w:rsidRPr="00FC1D84">
        <w:rPr>
          <w:rFonts w:ascii="Times New Roman" w:eastAsia="宋体" w:hAnsi="Times New Roman" w:cs="Times New Roman" w:hint="eastAsia"/>
          <w:kern w:val="0"/>
          <w:sz w:val="24"/>
          <w:szCs w:val="20"/>
        </w:rPr>
        <w:t>&gt;</w:t>
      </w:r>
      <w:r w:rsidR="00FC1D84" w:rsidRPr="00FC1D84">
        <w:rPr>
          <w:rFonts w:ascii="Times New Roman" w:eastAsia="宋体" w:hAnsi="Times New Roman" w:cs="Times New Roman" w:hint="eastAsia"/>
          <w:kern w:val="0"/>
          <w:sz w:val="24"/>
          <w:szCs w:val="20"/>
        </w:rPr>
        <w:t>暨关联交易的议案》</w:t>
      </w:r>
      <w:r w:rsidR="00CA1CF0">
        <w:rPr>
          <w:rFonts w:ascii="Times New Roman" w:eastAsia="宋体" w:hAnsi="Times New Roman" w:cs="Times New Roman" w:hint="eastAsia"/>
          <w:kern w:val="0"/>
          <w:sz w:val="24"/>
          <w:szCs w:val="20"/>
        </w:rPr>
        <w:t>，</w:t>
      </w:r>
      <w:r>
        <w:rPr>
          <w:rFonts w:ascii="Times New Roman" w:eastAsia="宋体" w:hAnsi="Times New Roman" w:cs="Times New Roman" w:hint="eastAsia"/>
          <w:kern w:val="0"/>
          <w:sz w:val="24"/>
          <w:szCs w:val="20"/>
        </w:rPr>
        <w:t>现将</w:t>
      </w:r>
      <w:r>
        <w:rPr>
          <w:rFonts w:ascii="Times New Roman" w:eastAsia="宋体" w:hAnsi="Times New Roman" w:cs="Times New Roman" w:hint="eastAsia"/>
          <w:kern w:val="0"/>
          <w:sz w:val="24"/>
          <w:szCs w:val="20"/>
        </w:rPr>
        <w:t>2021</w:t>
      </w:r>
      <w:r>
        <w:rPr>
          <w:rFonts w:ascii="Times New Roman" w:eastAsia="宋体" w:hAnsi="Times New Roman" w:cs="Times New Roman" w:hint="eastAsia"/>
          <w:kern w:val="0"/>
          <w:sz w:val="24"/>
          <w:szCs w:val="20"/>
        </w:rPr>
        <w:t>年度非公开发行</w:t>
      </w:r>
      <w:r>
        <w:rPr>
          <w:rFonts w:ascii="Times New Roman" w:eastAsia="宋体" w:hAnsi="Times New Roman" w:cs="Times New Roman" w:hint="eastAsia"/>
          <w:kern w:val="0"/>
          <w:sz w:val="24"/>
          <w:szCs w:val="20"/>
        </w:rPr>
        <w:t>A</w:t>
      </w:r>
      <w:r>
        <w:rPr>
          <w:rFonts w:ascii="Times New Roman" w:eastAsia="宋体" w:hAnsi="Times New Roman" w:cs="Times New Roman" w:hint="eastAsia"/>
          <w:kern w:val="0"/>
          <w:sz w:val="24"/>
          <w:szCs w:val="20"/>
        </w:rPr>
        <w:t>股股票预案</w:t>
      </w:r>
      <w:r>
        <w:rPr>
          <w:rFonts w:ascii="Times New Roman" w:eastAsia="宋体" w:hAnsi="Times New Roman" w:cs="Times New Roman"/>
          <w:kern w:val="0"/>
          <w:sz w:val="24"/>
          <w:szCs w:val="20"/>
        </w:rPr>
        <w:t>主要修订情况公告如下</w:t>
      </w:r>
      <w:r>
        <w:rPr>
          <w:rFonts w:ascii="Times New Roman" w:eastAsia="宋体" w:hAnsi="Times New Roman" w:cs="Times New Roman" w:hint="eastAsia"/>
          <w:kern w:val="0"/>
          <w:sz w:val="24"/>
          <w:szCs w:val="20"/>
        </w:rPr>
        <w:t>：</w:t>
      </w:r>
    </w:p>
    <w:tbl>
      <w:tblPr>
        <w:tblStyle w:val="a9"/>
        <w:tblW w:w="0" w:type="auto"/>
        <w:jc w:val="center"/>
        <w:tblLook w:val="04A0" w:firstRow="1" w:lastRow="0" w:firstColumn="1" w:lastColumn="0" w:noHBand="0" w:noVBand="1"/>
      </w:tblPr>
      <w:tblGrid>
        <w:gridCol w:w="2765"/>
        <w:gridCol w:w="2765"/>
        <w:gridCol w:w="2766"/>
      </w:tblGrid>
      <w:tr w:rsidR="00CA1CF0" w14:paraId="06AA3227" w14:textId="77777777" w:rsidTr="007775BE">
        <w:trPr>
          <w:cantSplit/>
          <w:tblHeader/>
          <w:jc w:val="center"/>
        </w:trPr>
        <w:tc>
          <w:tcPr>
            <w:tcW w:w="2765" w:type="dxa"/>
            <w:vAlign w:val="center"/>
          </w:tcPr>
          <w:p w14:paraId="256AC8F5" w14:textId="77777777" w:rsidR="00CA1CF0" w:rsidRDefault="00CA1CF0" w:rsidP="007775BE">
            <w:pPr>
              <w:jc w:val="center"/>
              <w:rPr>
                <w:rFonts w:ascii="Times New Roman" w:eastAsia="宋体" w:hAnsi="Times New Roman" w:cs="Times New Roman"/>
                <w:b/>
                <w:kern w:val="0"/>
                <w:szCs w:val="20"/>
              </w:rPr>
            </w:pPr>
            <w:r>
              <w:rPr>
                <w:rFonts w:ascii="Times New Roman" w:eastAsia="宋体" w:hAnsi="Times New Roman" w:cs="Times New Roman" w:hint="eastAsia"/>
                <w:b/>
                <w:kern w:val="0"/>
                <w:szCs w:val="20"/>
              </w:rPr>
              <w:t>预案</w:t>
            </w:r>
            <w:r>
              <w:rPr>
                <w:rFonts w:ascii="Times New Roman" w:eastAsia="宋体" w:hAnsi="Times New Roman" w:cs="Times New Roman"/>
                <w:b/>
                <w:kern w:val="0"/>
                <w:szCs w:val="20"/>
              </w:rPr>
              <w:t>章节</w:t>
            </w:r>
          </w:p>
        </w:tc>
        <w:tc>
          <w:tcPr>
            <w:tcW w:w="2765" w:type="dxa"/>
            <w:vAlign w:val="center"/>
          </w:tcPr>
          <w:p w14:paraId="0CAC2B5C" w14:textId="77777777" w:rsidR="00CA1CF0" w:rsidRDefault="00CA1CF0" w:rsidP="007775BE">
            <w:pPr>
              <w:jc w:val="center"/>
              <w:rPr>
                <w:rFonts w:ascii="Times New Roman" w:eastAsia="宋体" w:hAnsi="Times New Roman" w:cs="Times New Roman"/>
                <w:b/>
                <w:kern w:val="0"/>
                <w:szCs w:val="20"/>
              </w:rPr>
            </w:pPr>
            <w:r>
              <w:rPr>
                <w:rFonts w:ascii="Times New Roman" w:eastAsia="宋体" w:hAnsi="Times New Roman" w:cs="Times New Roman" w:hint="eastAsia"/>
                <w:b/>
                <w:kern w:val="0"/>
                <w:szCs w:val="20"/>
              </w:rPr>
              <w:t>章节</w:t>
            </w:r>
            <w:r>
              <w:rPr>
                <w:rFonts w:ascii="Times New Roman" w:eastAsia="宋体" w:hAnsi="Times New Roman" w:cs="Times New Roman"/>
                <w:b/>
                <w:kern w:val="0"/>
                <w:szCs w:val="20"/>
              </w:rPr>
              <w:t>内容</w:t>
            </w:r>
          </w:p>
        </w:tc>
        <w:tc>
          <w:tcPr>
            <w:tcW w:w="2766" w:type="dxa"/>
            <w:vAlign w:val="center"/>
          </w:tcPr>
          <w:p w14:paraId="44081F6B" w14:textId="77777777" w:rsidR="00CA1CF0" w:rsidRDefault="00CA1CF0" w:rsidP="007775BE">
            <w:pPr>
              <w:jc w:val="center"/>
              <w:rPr>
                <w:rFonts w:ascii="Times New Roman" w:eastAsia="宋体" w:hAnsi="Times New Roman" w:cs="Times New Roman"/>
                <w:b/>
                <w:kern w:val="0"/>
                <w:szCs w:val="20"/>
              </w:rPr>
            </w:pPr>
            <w:r>
              <w:rPr>
                <w:rFonts w:ascii="Times New Roman" w:eastAsia="宋体" w:hAnsi="Times New Roman" w:cs="Times New Roman" w:hint="eastAsia"/>
                <w:b/>
                <w:kern w:val="0"/>
                <w:szCs w:val="20"/>
              </w:rPr>
              <w:t>修订</w:t>
            </w:r>
            <w:r>
              <w:rPr>
                <w:rFonts w:ascii="Times New Roman" w:eastAsia="宋体" w:hAnsi="Times New Roman" w:cs="Times New Roman"/>
                <w:b/>
                <w:kern w:val="0"/>
                <w:szCs w:val="20"/>
              </w:rPr>
              <w:t>内容</w:t>
            </w:r>
          </w:p>
        </w:tc>
      </w:tr>
      <w:tr w:rsidR="00CA1CF0" w14:paraId="7474F989" w14:textId="77777777" w:rsidTr="007775BE">
        <w:trPr>
          <w:cantSplit/>
          <w:jc w:val="center"/>
        </w:trPr>
        <w:tc>
          <w:tcPr>
            <w:tcW w:w="2765" w:type="dxa"/>
            <w:vMerge w:val="restart"/>
            <w:vAlign w:val="center"/>
          </w:tcPr>
          <w:p w14:paraId="4A52B352" w14:textId="77777777" w:rsidR="00CA1CF0" w:rsidRDefault="00CA1CF0" w:rsidP="007775BE">
            <w:pPr>
              <w:rPr>
                <w:rFonts w:ascii="Times New Roman" w:eastAsia="宋体" w:hAnsi="Times New Roman" w:cs="Times New Roman"/>
                <w:kern w:val="0"/>
                <w:sz w:val="24"/>
                <w:szCs w:val="20"/>
              </w:rPr>
            </w:pPr>
            <w:r>
              <w:rPr>
                <w:rFonts w:ascii="Times New Roman" w:hAnsi="Times New Roman" w:hint="eastAsia"/>
              </w:rPr>
              <w:t>重大事项</w:t>
            </w:r>
            <w:r>
              <w:rPr>
                <w:rFonts w:ascii="Times New Roman" w:hAnsi="Times New Roman"/>
              </w:rPr>
              <w:t>提示</w:t>
            </w:r>
          </w:p>
        </w:tc>
        <w:tc>
          <w:tcPr>
            <w:tcW w:w="2765" w:type="dxa"/>
            <w:vMerge w:val="restart"/>
            <w:vAlign w:val="center"/>
          </w:tcPr>
          <w:p w14:paraId="61B6309F" w14:textId="77777777" w:rsidR="00CA1CF0" w:rsidRDefault="00CA1CF0" w:rsidP="007775BE">
            <w:pPr>
              <w:rPr>
                <w:rFonts w:ascii="Times New Roman" w:eastAsia="宋体" w:hAnsi="Times New Roman" w:cs="Times New Roman"/>
                <w:kern w:val="0"/>
                <w:sz w:val="24"/>
                <w:szCs w:val="20"/>
              </w:rPr>
            </w:pPr>
            <w:r>
              <w:rPr>
                <w:rFonts w:ascii="Times New Roman" w:hAnsi="Times New Roman" w:hint="eastAsia"/>
              </w:rPr>
              <w:t>重大事项</w:t>
            </w:r>
            <w:r>
              <w:rPr>
                <w:rFonts w:ascii="Times New Roman" w:hAnsi="Times New Roman"/>
              </w:rPr>
              <w:t>提示</w:t>
            </w:r>
          </w:p>
        </w:tc>
        <w:tc>
          <w:tcPr>
            <w:tcW w:w="2766" w:type="dxa"/>
            <w:vAlign w:val="center"/>
          </w:tcPr>
          <w:p w14:paraId="257429D1" w14:textId="77777777" w:rsidR="00CA1CF0" w:rsidRDefault="00CA1CF0" w:rsidP="007775BE">
            <w:pPr>
              <w:rPr>
                <w:rFonts w:ascii="Times New Roman" w:eastAsia="宋体" w:hAnsi="Times New Roman" w:cs="Times New Roman"/>
                <w:kern w:val="0"/>
                <w:sz w:val="24"/>
                <w:szCs w:val="20"/>
              </w:rPr>
            </w:pPr>
            <w:r>
              <w:rPr>
                <w:rFonts w:ascii="Times New Roman" w:hAnsi="Times New Roman"/>
              </w:rPr>
              <w:t>更新了审议通过情况</w:t>
            </w:r>
          </w:p>
        </w:tc>
      </w:tr>
      <w:tr w:rsidR="00CA1CF0" w14:paraId="21610E54" w14:textId="77777777" w:rsidTr="007775BE">
        <w:trPr>
          <w:cantSplit/>
          <w:jc w:val="center"/>
        </w:trPr>
        <w:tc>
          <w:tcPr>
            <w:tcW w:w="2765" w:type="dxa"/>
            <w:vMerge/>
            <w:vAlign w:val="center"/>
          </w:tcPr>
          <w:p w14:paraId="4695E8F7" w14:textId="77777777" w:rsidR="00CA1CF0" w:rsidRDefault="00CA1CF0" w:rsidP="007775BE">
            <w:pPr>
              <w:rPr>
                <w:rFonts w:ascii="Times New Roman" w:hAnsi="Times New Roman"/>
              </w:rPr>
            </w:pPr>
          </w:p>
        </w:tc>
        <w:tc>
          <w:tcPr>
            <w:tcW w:w="2765" w:type="dxa"/>
            <w:vMerge/>
            <w:vAlign w:val="center"/>
          </w:tcPr>
          <w:p w14:paraId="001730AA" w14:textId="77777777" w:rsidR="00CA1CF0" w:rsidRDefault="00CA1CF0" w:rsidP="007775BE">
            <w:pPr>
              <w:rPr>
                <w:rFonts w:ascii="Times New Roman" w:hAnsi="Times New Roman"/>
              </w:rPr>
            </w:pPr>
          </w:p>
        </w:tc>
        <w:tc>
          <w:tcPr>
            <w:tcW w:w="2766" w:type="dxa"/>
            <w:vAlign w:val="center"/>
          </w:tcPr>
          <w:p w14:paraId="14B29093" w14:textId="77777777" w:rsidR="00CA1CF0" w:rsidRDefault="00CA1CF0" w:rsidP="007775BE">
            <w:pPr>
              <w:rPr>
                <w:rFonts w:ascii="Times New Roman" w:hAnsi="Times New Roman"/>
              </w:rPr>
            </w:pPr>
            <w:r>
              <w:rPr>
                <w:rFonts w:ascii="Times New Roman" w:hAnsi="Times New Roman"/>
              </w:rPr>
              <w:t>更新了</w:t>
            </w:r>
            <w:r>
              <w:rPr>
                <w:rFonts w:ascii="Times New Roman" w:hAnsi="Times New Roman" w:hint="eastAsia"/>
              </w:rPr>
              <w:t>本次发行</w:t>
            </w:r>
            <w:r>
              <w:rPr>
                <w:rFonts w:ascii="Times New Roman" w:hAnsi="Times New Roman"/>
              </w:rPr>
              <w:t>股票</w:t>
            </w:r>
            <w:r>
              <w:rPr>
                <w:rFonts w:ascii="Times New Roman" w:hAnsi="Times New Roman" w:hint="eastAsia"/>
              </w:rPr>
              <w:t>认购</w:t>
            </w:r>
            <w:r>
              <w:rPr>
                <w:rFonts w:ascii="Times New Roman" w:hAnsi="Times New Roman"/>
              </w:rPr>
              <w:t>方认购的数量</w:t>
            </w:r>
            <w:r>
              <w:rPr>
                <w:rFonts w:ascii="Times New Roman" w:hAnsi="Times New Roman" w:hint="eastAsia"/>
              </w:rPr>
              <w:t>及</w:t>
            </w:r>
            <w:r>
              <w:rPr>
                <w:rFonts w:ascii="Times New Roman" w:hAnsi="Times New Roman"/>
              </w:rPr>
              <w:t>发行</w:t>
            </w:r>
            <w:r>
              <w:rPr>
                <w:rFonts w:ascii="Times New Roman" w:hAnsi="Times New Roman" w:hint="eastAsia"/>
              </w:rPr>
              <w:t>前</w:t>
            </w:r>
            <w:r>
              <w:rPr>
                <w:rFonts w:ascii="Times New Roman" w:hAnsi="Times New Roman"/>
              </w:rPr>
              <w:t>后</w:t>
            </w:r>
            <w:r>
              <w:rPr>
                <w:rFonts w:ascii="Times New Roman" w:hAnsi="Times New Roman" w:hint="eastAsia"/>
              </w:rPr>
              <w:t>持股比例</w:t>
            </w:r>
            <w:r>
              <w:rPr>
                <w:rFonts w:ascii="Times New Roman" w:hAnsi="Times New Roman"/>
              </w:rPr>
              <w:t>变化</w:t>
            </w:r>
          </w:p>
        </w:tc>
      </w:tr>
      <w:tr w:rsidR="00CA1CF0" w14:paraId="5EF7E8D8" w14:textId="77777777" w:rsidTr="007775BE">
        <w:trPr>
          <w:cantSplit/>
          <w:jc w:val="center"/>
        </w:trPr>
        <w:tc>
          <w:tcPr>
            <w:tcW w:w="2765" w:type="dxa"/>
            <w:vMerge/>
            <w:vAlign w:val="center"/>
          </w:tcPr>
          <w:p w14:paraId="236F731E" w14:textId="77777777" w:rsidR="00CA1CF0" w:rsidRDefault="00CA1CF0" w:rsidP="007775BE">
            <w:pPr>
              <w:rPr>
                <w:rFonts w:ascii="Times New Roman" w:hAnsi="Times New Roman"/>
              </w:rPr>
            </w:pPr>
          </w:p>
        </w:tc>
        <w:tc>
          <w:tcPr>
            <w:tcW w:w="2765" w:type="dxa"/>
            <w:vMerge/>
            <w:vAlign w:val="center"/>
          </w:tcPr>
          <w:p w14:paraId="05A01BEC" w14:textId="77777777" w:rsidR="00CA1CF0" w:rsidRDefault="00CA1CF0" w:rsidP="007775BE">
            <w:pPr>
              <w:rPr>
                <w:rFonts w:ascii="Times New Roman" w:hAnsi="Times New Roman"/>
              </w:rPr>
            </w:pPr>
          </w:p>
        </w:tc>
        <w:tc>
          <w:tcPr>
            <w:tcW w:w="2766" w:type="dxa"/>
            <w:vAlign w:val="center"/>
          </w:tcPr>
          <w:p w14:paraId="6A5BCDED" w14:textId="77777777" w:rsidR="00CA1CF0" w:rsidRDefault="00CA1CF0" w:rsidP="007775BE">
            <w:pPr>
              <w:rPr>
                <w:rFonts w:ascii="Times New Roman" w:hAnsi="Times New Roman"/>
              </w:rPr>
            </w:pPr>
            <w:r>
              <w:rPr>
                <w:rFonts w:ascii="Times New Roman" w:hAnsi="Times New Roman"/>
              </w:rPr>
              <w:t>更新了募集资金总额</w:t>
            </w:r>
          </w:p>
        </w:tc>
      </w:tr>
      <w:tr w:rsidR="00CA1CF0" w14:paraId="664E69D3" w14:textId="77777777" w:rsidTr="007775BE">
        <w:trPr>
          <w:cantSplit/>
          <w:jc w:val="center"/>
        </w:trPr>
        <w:tc>
          <w:tcPr>
            <w:tcW w:w="2765" w:type="dxa"/>
            <w:vMerge w:val="restart"/>
            <w:vAlign w:val="center"/>
          </w:tcPr>
          <w:p w14:paraId="67AC87F3" w14:textId="77777777" w:rsidR="00CA1CF0" w:rsidRDefault="00CA1CF0" w:rsidP="007775BE">
            <w:pPr>
              <w:rPr>
                <w:rFonts w:ascii="Times New Roman" w:hAnsi="Times New Roman"/>
              </w:rPr>
            </w:pPr>
            <w:r>
              <w:rPr>
                <w:rFonts w:ascii="Times New Roman" w:hAnsi="Times New Roman"/>
              </w:rPr>
              <w:t>第一节</w:t>
            </w:r>
            <w:r>
              <w:rPr>
                <w:rFonts w:ascii="Times New Roman" w:hAnsi="Times New Roman" w:hint="eastAsia"/>
              </w:rPr>
              <w:t xml:space="preserve"> </w:t>
            </w:r>
            <w:r>
              <w:rPr>
                <w:rFonts w:ascii="Times New Roman" w:hAnsi="Times New Roman"/>
              </w:rPr>
              <w:t>本次发行</w:t>
            </w:r>
            <w:r>
              <w:rPr>
                <w:rFonts w:ascii="Times New Roman" w:hAnsi="Times New Roman" w:hint="eastAsia"/>
              </w:rPr>
              <w:t>A</w:t>
            </w:r>
            <w:r>
              <w:rPr>
                <w:rFonts w:ascii="Times New Roman" w:hAnsi="Times New Roman" w:hint="eastAsia"/>
              </w:rPr>
              <w:t>股</w:t>
            </w:r>
            <w:r>
              <w:rPr>
                <w:rFonts w:ascii="Times New Roman" w:hAnsi="Times New Roman"/>
              </w:rPr>
              <w:t>股票方案概要</w:t>
            </w:r>
          </w:p>
        </w:tc>
        <w:tc>
          <w:tcPr>
            <w:tcW w:w="2765" w:type="dxa"/>
            <w:vAlign w:val="center"/>
          </w:tcPr>
          <w:p w14:paraId="60E85B2E" w14:textId="77777777" w:rsidR="00CA1CF0" w:rsidRDefault="00CA1CF0" w:rsidP="007775BE">
            <w:pPr>
              <w:rPr>
                <w:rFonts w:ascii="Times New Roman" w:hAnsi="Times New Roman"/>
              </w:rPr>
            </w:pPr>
            <w:r>
              <w:rPr>
                <w:rFonts w:ascii="Times New Roman" w:hAnsi="Times New Roman"/>
              </w:rPr>
              <w:t>四、本次发行方案概要</w:t>
            </w:r>
            <w:r>
              <w:rPr>
                <w:rFonts w:ascii="Times New Roman" w:hAnsi="Times New Roman"/>
              </w:rPr>
              <w:t>/</w:t>
            </w:r>
            <w:r>
              <w:rPr>
                <w:rFonts w:ascii="Times New Roman" w:hAnsi="Times New Roman" w:hint="eastAsia"/>
              </w:rPr>
              <w:t>5</w:t>
            </w:r>
            <w:r>
              <w:rPr>
                <w:rFonts w:ascii="Times New Roman" w:hAnsi="Times New Roman" w:hint="eastAsia"/>
              </w:rPr>
              <w:t>、</w:t>
            </w:r>
            <w:r>
              <w:rPr>
                <w:rFonts w:ascii="Times New Roman" w:hAnsi="Times New Roman"/>
              </w:rPr>
              <w:t>发行</w:t>
            </w:r>
            <w:r>
              <w:rPr>
                <w:rFonts w:ascii="Times New Roman" w:hAnsi="Times New Roman" w:hint="eastAsia"/>
              </w:rPr>
              <w:t>数量及</w:t>
            </w:r>
            <w:r>
              <w:rPr>
                <w:rFonts w:ascii="Times New Roman" w:hAnsi="Times New Roman" w:hint="eastAsia"/>
              </w:rPr>
              <w:t>10</w:t>
            </w:r>
            <w:r>
              <w:rPr>
                <w:rFonts w:ascii="Times New Roman" w:hAnsi="Times New Roman" w:hint="eastAsia"/>
              </w:rPr>
              <w:t>、募集资金投向</w:t>
            </w:r>
          </w:p>
        </w:tc>
        <w:tc>
          <w:tcPr>
            <w:tcW w:w="2766" w:type="dxa"/>
            <w:vAlign w:val="center"/>
          </w:tcPr>
          <w:p w14:paraId="4CFECEC0" w14:textId="77777777" w:rsidR="00CA1CF0" w:rsidRDefault="00CA1CF0" w:rsidP="007775BE">
            <w:pPr>
              <w:rPr>
                <w:rFonts w:ascii="Times New Roman" w:hAnsi="Times New Roman"/>
              </w:rPr>
            </w:pPr>
            <w:r>
              <w:rPr>
                <w:rFonts w:ascii="Times New Roman" w:hAnsi="Times New Roman"/>
              </w:rPr>
              <w:t>更新了</w:t>
            </w:r>
            <w:r>
              <w:rPr>
                <w:rFonts w:ascii="Times New Roman" w:hAnsi="Times New Roman" w:hint="eastAsia"/>
              </w:rPr>
              <w:t>本次</w:t>
            </w:r>
            <w:r>
              <w:rPr>
                <w:rFonts w:ascii="Times New Roman" w:hAnsi="Times New Roman"/>
              </w:rPr>
              <w:t>非公开发行股票数量及募集资金总额</w:t>
            </w:r>
          </w:p>
        </w:tc>
      </w:tr>
      <w:tr w:rsidR="00CA1CF0" w14:paraId="4D6DFB0B" w14:textId="77777777" w:rsidTr="007775BE">
        <w:trPr>
          <w:cantSplit/>
          <w:jc w:val="center"/>
        </w:trPr>
        <w:tc>
          <w:tcPr>
            <w:tcW w:w="2765" w:type="dxa"/>
            <w:vMerge/>
            <w:vAlign w:val="center"/>
          </w:tcPr>
          <w:p w14:paraId="693EA7D4" w14:textId="77777777" w:rsidR="00CA1CF0" w:rsidRDefault="00CA1CF0" w:rsidP="007775BE">
            <w:pPr>
              <w:rPr>
                <w:rFonts w:ascii="Times New Roman" w:hAnsi="Times New Roman"/>
              </w:rPr>
            </w:pPr>
          </w:p>
        </w:tc>
        <w:tc>
          <w:tcPr>
            <w:tcW w:w="2765" w:type="dxa"/>
            <w:vAlign w:val="center"/>
          </w:tcPr>
          <w:p w14:paraId="23B96A9A" w14:textId="77777777" w:rsidR="00CA1CF0" w:rsidRDefault="00CA1CF0" w:rsidP="007775BE">
            <w:pPr>
              <w:rPr>
                <w:rFonts w:ascii="Times New Roman" w:hAnsi="Times New Roman"/>
              </w:rPr>
            </w:pPr>
            <w:r>
              <w:rPr>
                <w:rFonts w:ascii="Times New Roman" w:hAnsi="Times New Roman" w:hint="eastAsia"/>
              </w:rPr>
              <w:t>六、本次发行将导致公司实际控制权发生变化</w:t>
            </w:r>
          </w:p>
        </w:tc>
        <w:tc>
          <w:tcPr>
            <w:tcW w:w="2766" w:type="dxa"/>
            <w:vAlign w:val="center"/>
          </w:tcPr>
          <w:p w14:paraId="1B3B4FB8" w14:textId="77777777" w:rsidR="00CA1CF0" w:rsidRDefault="00CA1CF0" w:rsidP="007775BE">
            <w:pPr>
              <w:rPr>
                <w:rFonts w:ascii="Times New Roman" w:hAnsi="Times New Roman"/>
              </w:rPr>
            </w:pPr>
            <w:r>
              <w:rPr>
                <w:rFonts w:ascii="Times New Roman" w:hAnsi="Times New Roman" w:hint="eastAsia"/>
              </w:rPr>
              <w:t>本次</w:t>
            </w:r>
            <w:r>
              <w:rPr>
                <w:rFonts w:ascii="Times New Roman" w:hAnsi="Times New Roman"/>
              </w:rPr>
              <w:t>发行前后，</w:t>
            </w:r>
            <w:r>
              <w:rPr>
                <w:rFonts w:ascii="Times New Roman" w:hAnsi="Times New Roman" w:hint="eastAsia"/>
              </w:rPr>
              <w:t>认购方</w:t>
            </w:r>
            <w:r>
              <w:rPr>
                <w:rFonts w:ascii="Times New Roman" w:hAnsi="Times New Roman"/>
              </w:rPr>
              <w:t>持股</w:t>
            </w:r>
            <w:r>
              <w:rPr>
                <w:rFonts w:ascii="Times New Roman" w:hAnsi="Times New Roman" w:hint="eastAsia"/>
              </w:rPr>
              <w:t>比例</w:t>
            </w:r>
            <w:r>
              <w:rPr>
                <w:rFonts w:ascii="Times New Roman" w:hAnsi="Times New Roman"/>
              </w:rPr>
              <w:t>变化</w:t>
            </w:r>
          </w:p>
        </w:tc>
      </w:tr>
      <w:tr w:rsidR="00CA1CF0" w14:paraId="32203222" w14:textId="77777777" w:rsidTr="007775BE">
        <w:trPr>
          <w:cantSplit/>
          <w:jc w:val="center"/>
        </w:trPr>
        <w:tc>
          <w:tcPr>
            <w:tcW w:w="2765" w:type="dxa"/>
            <w:vMerge/>
            <w:vAlign w:val="center"/>
          </w:tcPr>
          <w:p w14:paraId="0F44AD7D" w14:textId="77777777" w:rsidR="00CA1CF0" w:rsidRDefault="00CA1CF0" w:rsidP="007775BE">
            <w:pPr>
              <w:rPr>
                <w:rFonts w:ascii="Times New Roman" w:hAnsi="Times New Roman"/>
              </w:rPr>
            </w:pPr>
          </w:p>
        </w:tc>
        <w:tc>
          <w:tcPr>
            <w:tcW w:w="2765" w:type="dxa"/>
            <w:vAlign w:val="center"/>
          </w:tcPr>
          <w:p w14:paraId="58C05BBE" w14:textId="77777777" w:rsidR="00CA1CF0" w:rsidRDefault="00CA1CF0" w:rsidP="007775BE">
            <w:pPr>
              <w:rPr>
                <w:rFonts w:ascii="Times New Roman" w:hAnsi="Times New Roman"/>
              </w:rPr>
            </w:pPr>
            <w:r>
              <w:rPr>
                <w:rFonts w:ascii="Times New Roman" w:hAnsi="Times New Roman"/>
              </w:rPr>
              <w:t>七、本次发行的审批程序</w:t>
            </w:r>
          </w:p>
        </w:tc>
        <w:tc>
          <w:tcPr>
            <w:tcW w:w="2766" w:type="dxa"/>
            <w:vAlign w:val="center"/>
          </w:tcPr>
          <w:p w14:paraId="668C5EDD" w14:textId="77777777" w:rsidR="00CA1CF0" w:rsidRDefault="00CA1CF0" w:rsidP="007775BE">
            <w:pPr>
              <w:rPr>
                <w:rFonts w:ascii="Times New Roman" w:hAnsi="Times New Roman"/>
              </w:rPr>
            </w:pPr>
            <w:r>
              <w:rPr>
                <w:rFonts w:ascii="Times New Roman" w:hAnsi="Times New Roman"/>
              </w:rPr>
              <w:t>更新了审议通过情况</w:t>
            </w:r>
          </w:p>
        </w:tc>
      </w:tr>
      <w:tr w:rsidR="00CA1CF0" w14:paraId="366C6658" w14:textId="77777777" w:rsidTr="007775BE">
        <w:trPr>
          <w:cantSplit/>
          <w:jc w:val="center"/>
        </w:trPr>
        <w:tc>
          <w:tcPr>
            <w:tcW w:w="2765" w:type="dxa"/>
            <w:vAlign w:val="center"/>
          </w:tcPr>
          <w:p w14:paraId="183000C5" w14:textId="77777777" w:rsidR="00CA1CF0" w:rsidRDefault="00CA1CF0" w:rsidP="007775BE">
            <w:pPr>
              <w:rPr>
                <w:rFonts w:ascii="Times New Roman" w:hAnsi="Times New Roman"/>
              </w:rPr>
            </w:pPr>
            <w:r>
              <w:rPr>
                <w:rFonts w:ascii="Times New Roman" w:hAnsi="Times New Roman" w:hint="eastAsia"/>
              </w:rPr>
              <w:t>第二节</w:t>
            </w:r>
            <w:r>
              <w:rPr>
                <w:rFonts w:ascii="Times New Roman" w:hAnsi="Times New Roman" w:hint="eastAsia"/>
              </w:rPr>
              <w:tab/>
            </w:r>
            <w:r>
              <w:rPr>
                <w:rFonts w:ascii="Times New Roman" w:hAnsi="Times New Roman" w:hint="eastAsia"/>
              </w:rPr>
              <w:t>发行对象基本情况及附条件生效的非公开发行股票认购协议摘要</w:t>
            </w:r>
          </w:p>
        </w:tc>
        <w:tc>
          <w:tcPr>
            <w:tcW w:w="2765" w:type="dxa"/>
            <w:vAlign w:val="center"/>
          </w:tcPr>
          <w:p w14:paraId="049A44CF" w14:textId="77777777" w:rsidR="00CA1CF0" w:rsidRDefault="00CA1CF0" w:rsidP="007775BE">
            <w:pPr>
              <w:rPr>
                <w:rFonts w:ascii="Times New Roman" w:hAnsi="Times New Roman"/>
              </w:rPr>
            </w:pPr>
            <w:r>
              <w:rPr>
                <w:rFonts w:ascii="Times New Roman" w:hAnsi="Times New Roman" w:hint="eastAsia"/>
              </w:rPr>
              <w:t>二、附条件生效的非公开发行股票认购协议内容摘要</w:t>
            </w:r>
          </w:p>
        </w:tc>
        <w:tc>
          <w:tcPr>
            <w:tcW w:w="2766" w:type="dxa"/>
            <w:vAlign w:val="center"/>
          </w:tcPr>
          <w:p w14:paraId="2D4E785E" w14:textId="77777777" w:rsidR="00CA1CF0" w:rsidRDefault="00CA1CF0" w:rsidP="007775BE">
            <w:pPr>
              <w:rPr>
                <w:rFonts w:ascii="Times New Roman" w:hAnsi="Times New Roman"/>
              </w:rPr>
            </w:pPr>
            <w:r>
              <w:rPr>
                <w:rFonts w:ascii="Times New Roman" w:hAnsi="Times New Roman" w:hint="eastAsia"/>
              </w:rPr>
              <w:t>更新</w:t>
            </w:r>
            <w:r>
              <w:rPr>
                <w:rFonts w:ascii="Times New Roman" w:hAnsi="Times New Roman"/>
              </w:rPr>
              <w:t>了认购金额、认购数量</w:t>
            </w:r>
          </w:p>
        </w:tc>
      </w:tr>
      <w:tr w:rsidR="00CA1CF0" w14:paraId="4FAC6292" w14:textId="77777777" w:rsidTr="007775BE">
        <w:trPr>
          <w:cantSplit/>
          <w:jc w:val="center"/>
        </w:trPr>
        <w:tc>
          <w:tcPr>
            <w:tcW w:w="2765" w:type="dxa"/>
            <w:vAlign w:val="center"/>
          </w:tcPr>
          <w:p w14:paraId="779F20A5" w14:textId="77777777" w:rsidR="00CA1CF0" w:rsidRDefault="00CA1CF0" w:rsidP="007775BE">
            <w:pPr>
              <w:rPr>
                <w:rFonts w:ascii="Times New Roman" w:hAnsi="Times New Roman"/>
              </w:rPr>
            </w:pPr>
            <w:r>
              <w:rPr>
                <w:rFonts w:ascii="Times New Roman" w:hAnsi="Times New Roman"/>
              </w:rPr>
              <w:t>第</w:t>
            </w:r>
            <w:r>
              <w:rPr>
                <w:rFonts w:ascii="Times New Roman" w:hAnsi="Times New Roman" w:hint="eastAsia"/>
              </w:rPr>
              <w:t>三</w:t>
            </w:r>
            <w:r>
              <w:rPr>
                <w:rFonts w:ascii="Times New Roman" w:hAnsi="Times New Roman"/>
              </w:rPr>
              <w:t>节</w:t>
            </w:r>
            <w:r>
              <w:rPr>
                <w:rFonts w:ascii="Times New Roman" w:hAnsi="Times New Roman" w:hint="eastAsia"/>
              </w:rPr>
              <w:t xml:space="preserve"> </w:t>
            </w:r>
            <w:r>
              <w:rPr>
                <w:rFonts w:ascii="Times New Roman" w:hAnsi="Times New Roman"/>
              </w:rPr>
              <w:t>董事会关于本次募集资金使用的可行性分析</w:t>
            </w:r>
          </w:p>
        </w:tc>
        <w:tc>
          <w:tcPr>
            <w:tcW w:w="2765" w:type="dxa"/>
            <w:vAlign w:val="center"/>
          </w:tcPr>
          <w:p w14:paraId="2EB4629D" w14:textId="77777777" w:rsidR="00CA1CF0" w:rsidRDefault="00CA1CF0" w:rsidP="007775BE">
            <w:pPr>
              <w:rPr>
                <w:rFonts w:ascii="Times New Roman" w:hAnsi="Times New Roman"/>
              </w:rPr>
            </w:pPr>
            <w:r>
              <w:rPr>
                <w:rFonts w:ascii="Times New Roman" w:hAnsi="Times New Roman"/>
              </w:rPr>
              <w:t>一、本次募集资金使用计划</w:t>
            </w:r>
          </w:p>
        </w:tc>
        <w:tc>
          <w:tcPr>
            <w:tcW w:w="2766" w:type="dxa"/>
            <w:vAlign w:val="center"/>
          </w:tcPr>
          <w:p w14:paraId="5937E080" w14:textId="77777777" w:rsidR="00CA1CF0" w:rsidRDefault="00CA1CF0" w:rsidP="007775BE">
            <w:pPr>
              <w:rPr>
                <w:rFonts w:ascii="Times New Roman" w:hAnsi="Times New Roman"/>
              </w:rPr>
            </w:pPr>
            <w:r>
              <w:rPr>
                <w:rFonts w:ascii="Times New Roman" w:hAnsi="Times New Roman"/>
              </w:rPr>
              <w:t>更新了募集资金总额</w:t>
            </w:r>
          </w:p>
        </w:tc>
      </w:tr>
      <w:tr w:rsidR="00CA1CF0" w14:paraId="6A0FB74F" w14:textId="77777777" w:rsidTr="007775BE">
        <w:trPr>
          <w:cantSplit/>
          <w:jc w:val="center"/>
        </w:trPr>
        <w:tc>
          <w:tcPr>
            <w:tcW w:w="2765" w:type="dxa"/>
            <w:vAlign w:val="center"/>
          </w:tcPr>
          <w:p w14:paraId="234E4D3D" w14:textId="77777777" w:rsidR="00CA1CF0" w:rsidRDefault="00CA1CF0" w:rsidP="007775BE">
            <w:pPr>
              <w:rPr>
                <w:rFonts w:ascii="Times New Roman" w:hAnsi="Times New Roman"/>
              </w:rPr>
            </w:pPr>
            <w:r>
              <w:rPr>
                <w:rFonts w:ascii="Times New Roman" w:hAnsi="Times New Roman"/>
              </w:rPr>
              <w:t>第</w:t>
            </w:r>
            <w:r>
              <w:rPr>
                <w:rFonts w:ascii="Times New Roman" w:hAnsi="Times New Roman" w:hint="eastAsia"/>
              </w:rPr>
              <w:t>四</w:t>
            </w:r>
            <w:r>
              <w:rPr>
                <w:rFonts w:ascii="Times New Roman" w:hAnsi="Times New Roman"/>
              </w:rPr>
              <w:t>节</w:t>
            </w:r>
            <w:r>
              <w:rPr>
                <w:rFonts w:ascii="Times New Roman" w:hAnsi="Times New Roman" w:hint="eastAsia"/>
              </w:rPr>
              <w:t xml:space="preserve"> </w:t>
            </w:r>
            <w:r>
              <w:rPr>
                <w:rFonts w:ascii="Times New Roman" w:hAnsi="Times New Roman"/>
              </w:rPr>
              <w:t>董事会关于本次发行对公司影响的讨论与分析</w:t>
            </w:r>
          </w:p>
        </w:tc>
        <w:tc>
          <w:tcPr>
            <w:tcW w:w="2765" w:type="dxa"/>
            <w:vAlign w:val="center"/>
          </w:tcPr>
          <w:p w14:paraId="0DF5DA9B" w14:textId="77777777" w:rsidR="00CA1CF0" w:rsidRDefault="00CA1CF0" w:rsidP="007775BE">
            <w:pPr>
              <w:rPr>
                <w:rFonts w:ascii="Times New Roman" w:hAnsi="Times New Roman"/>
              </w:rPr>
            </w:pPr>
            <w:r>
              <w:rPr>
                <w:rFonts w:ascii="Times New Roman" w:hAnsi="Times New Roman" w:hint="eastAsia"/>
              </w:rPr>
              <w:t>六、本次股票发行相关的风险说明</w:t>
            </w:r>
            <w:r>
              <w:rPr>
                <w:rFonts w:ascii="Times New Roman" w:hAnsi="Times New Roman" w:hint="eastAsia"/>
              </w:rPr>
              <w:t>/</w:t>
            </w:r>
            <w:r>
              <w:rPr>
                <w:rFonts w:ascii="Times New Roman" w:hAnsi="Times New Roman" w:hint="eastAsia"/>
              </w:rPr>
              <w:t>（四）财务风险</w:t>
            </w:r>
          </w:p>
        </w:tc>
        <w:tc>
          <w:tcPr>
            <w:tcW w:w="2766" w:type="dxa"/>
            <w:vAlign w:val="center"/>
          </w:tcPr>
          <w:p w14:paraId="2BD01DB0" w14:textId="77777777" w:rsidR="00CA1CF0" w:rsidRDefault="00CA1CF0" w:rsidP="007775BE">
            <w:pPr>
              <w:rPr>
                <w:rFonts w:ascii="Times New Roman" w:hAnsi="Times New Roman"/>
              </w:rPr>
            </w:pPr>
            <w:r>
              <w:rPr>
                <w:rFonts w:ascii="Times New Roman" w:hAnsi="Times New Roman" w:hint="eastAsia"/>
              </w:rPr>
              <w:t>更新</w:t>
            </w:r>
            <w:r>
              <w:rPr>
                <w:rFonts w:ascii="Times New Roman" w:hAnsi="Times New Roman"/>
              </w:rPr>
              <w:t>了财务风险提示中公司报告期内</w:t>
            </w:r>
            <w:r>
              <w:rPr>
                <w:rFonts w:ascii="Times New Roman" w:hAnsi="Times New Roman" w:hint="eastAsia"/>
              </w:rPr>
              <w:t>的</w:t>
            </w:r>
            <w:r>
              <w:rPr>
                <w:rFonts w:ascii="Times New Roman" w:hAnsi="Times New Roman"/>
              </w:rPr>
              <w:t>相关财务</w:t>
            </w:r>
            <w:r>
              <w:rPr>
                <w:rFonts w:ascii="Times New Roman" w:hAnsi="Times New Roman" w:hint="eastAsia"/>
              </w:rPr>
              <w:t>数据</w:t>
            </w:r>
          </w:p>
        </w:tc>
      </w:tr>
      <w:tr w:rsidR="00CA1CF0" w14:paraId="7CCFACB4" w14:textId="77777777" w:rsidTr="007775BE">
        <w:trPr>
          <w:cantSplit/>
          <w:jc w:val="center"/>
        </w:trPr>
        <w:tc>
          <w:tcPr>
            <w:tcW w:w="2765" w:type="dxa"/>
            <w:vAlign w:val="center"/>
          </w:tcPr>
          <w:p w14:paraId="77F851C0" w14:textId="77777777" w:rsidR="00CA1CF0" w:rsidRDefault="00CA1CF0" w:rsidP="007775BE">
            <w:pPr>
              <w:rPr>
                <w:rFonts w:ascii="Times New Roman" w:hAnsi="Times New Roman"/>
              </w:rPr>
            </w:pPr>
            <w:r>
              <w:rPr>
                <w:rFonts w:ascii="Times New Roman" w:hAnsi="Times New Roman" w:hint="eastAsia"/>
              </w:rPr>
              <w:lastRenderedPageBreak/>
              <w:t>第六节</w:t>
            </w:r>
            <w:r>
              <w:rPr>
                <w:rFonts w:ascii="Times New Roman" w:hAnsi="Times New Roman" w:hint="eastAsia"/>
              </w:rPr>
              <w:t xml:space="preserve"> </w:t>
            </w:r>
            <w:r>
              <w:rPr>
                <w:rFonts w:ascii="Times New Roman" w:hAnsi="Times New Roman" w:hint="eastAsia"/>
              </w:rPr>
              <w:t>其他有必要披露的事项</w:t>
            </w:r>
          </w:p>
        </w:tc>
        <w:tc>
          <w:tcPr>
            <w:tcW w:w="2765" w:type="dxa"/>
            <w:vAlign w:val="center"/>
          </w:tcPr>
          <w:p w14:paraId="0C651CDA" w14:textId="77777777" w:rsidR="00CA1CF0" w:rsidRDefault="00CA1CF0" w:rsidP="007775BE">
            <w:pPr>
              <w:rPr>
                <w:rFonts w:ascii="Times New Roman" w:hAnsi="Times New Roman"/>
              </w:rPr>
            </w:pPr>
            <w:r>
              <w:rPr>
                <w:rFonts w:ascii="Times New Roman" w:hAnsi="Times New Roman" w:hint="eastAsia"/>
              </w:rPr>
              <w:t>一、本次发行摊薄即期回报对公司每股收益的影响</w:t>
            </w:r>
          </w:p>
        </w:tc>
        <w:tc>
          <w:tcPr>
            <w:tcW w:w="2766" w:type="dxa"/>
            <w:vAlign w:val="center"/>
          </w:tcPr>
          <w:p w14:paraId="1E109277" w14:textId="77777777" w:rsidR="00CA1CF0" w:rsidRDefault="00CA1CF0" w:rsidP="007775BE">
            <w:pPr>
              <w:rPr>
                <w:rFonts w:ascii="Times New Roman" w:hAnsi="Times New Roman"/>
              </w:rPr>
            </w:pPr>
            <w:r>
              <w:rPr>
                <w:rFonts w:ascii="Times New Roman" w:hAnsi="Times New Roman" w:hint="eastAsia"/>
              </w:rPr>
              <w:t>更新了本次非公开发行数量</w:t>
            </w:r>
            <w:r>
              <w:rPr>
                <w:rFonts w:ascii="Times New Roman" w:hAnsi="Times New Roman"/>
              </w:rPr>
              <w:t>，</w:t>
            </w:r>
            <w:r>
              <w:rPr>
                <w:rFonts w:ascii="Times New Roman" w:hAnsi="Times New Roman" w:hint="eastAsia"/>
              </w:rPr>
              <w:t>非公开发行实施完毕假设，以及本次发行摊薄即期回报对每股收益的影响</w:t>
            </w:r>
          </w:p>
        </w:tc>
      </w:tr>
    </w:tbl>
    <w:p w14:paraId="31DE4173" w14:textId="56AA9B95" w:rsidR="00596908" w:rsidRDefault="00C23E02">
      <w:pPr>
        <w:spacing w:afterLines="50" w:after="156" w:line="480" w:lineRule="exact"/>
        <w:ind w:firstLineChars="400" w:firstLine="96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特此公告。</w:t>
      </w:r>
    </w:p>
    <w:p w14:paraId="3681B803" w14:textId="77777777" w:rsidR="00596908" w:rsidRDefault="00C23E02">
      <w:pPr>
        <w:spacing w:line="480" w:lineRule="exact"/>
        <w:ind w:firstLineChars="200" w:firstLine="480"/>
        <w:jc w:val="right"/>
        <w:rPr>
          <w:rFonts w:ascii="Times New Roman" w:hAnsi="Times New Roman"/>
          <w:kern w:val="0"/>
          <w:sz w:val="24"/>
        </w:rPr>
      </w:pPr>
      <w:r>
        <w:rPr>
          <w:rFonts w:ascii="Times New Roman" w:hAnsi="Times New Roman" w:hint="eastAsia"/>
          <w:kern w:val="0"/>
          <w:sz w:val="24"/>
        </w:rPr>
        <w:t>厦门万里石股份有限公司董事会</w:t>
      </w:r>
    </w:p>
    <w:p w14:paraId="297D1FC3" w14:textId="6373C3D2" w:rsidR="00596908" w:rsidRDefault="00C23E02">
      <w:pPr>
        <w:wordWrap w:val="0"/>
        <w:spacing w:line="480" w:lineRule="exact"/>
        <w:ind w:firstLineChars="200" w:firstLine="480"/>
        <w:jc w:val="right"/>
        <w:rPr>
          <w:rFonts w:ascii="Times New Roman" w:hAnsi="Times New Roman"/>
          <w:kern w:val="0"/>
          <w:sz w:val="24"/>
        </w:rPr>
      </w:pPr>
      <w:r>
        <w:rPr>
          <w:rFonts w:ascii="Times New Roman" w:hAnsi="Times New Roman"/>
          <w:kern w:val="0"/>
          <w:sz w:val="24"/>
        </w:rPr>
        <w:t>20</w:t>
      </w:r>
      <w:r>
        <w:rPr>
          <w:rFonts w:ascii="Times New Roman" w:hAnsi="Times New Roman" w:hint="eastAsia"/>
          <w:kern w:val="0"/>
          <w:sz w:val="24"/>
        </w:rPr>
        <w:t>2</w:t>
      </w:r>
      <w:r>
        <w:rPr>
          <w:rFonts w:ascii="Times New Roman" w:hAnsi="Times New Roman"/>
          <w:kern w:val="0"/>
          <w:sz w:val="24"/>
        </w:rPr>
        <w:t>2</w:t>
      </w:r>
      <w:r>
        <w:rPr>
          <w:rFonts w:ascii="Times New Roman" w:hAnsi="Times New Roman" w:hint="eastAsia"/>
          <w:kern w:val="0"/>
          <w:sz w:val="24"/>
        </w:rPr>
        <w:t>年</w:t>
      </w:r>
      <w:r w:rsidR="00CA1CF0">
        <w:rPr>
          <w:rFonts w:ascii="Times New Roman" w:hAnsi="Times New Roman"/>
          <w:kern w:val="0"/>
          <w:sz w:val="24"/>
        </w:rPr>
        <w:t>9</w:t>
      </w:r>
      <w:r>
        <w:rPr>
          <w:rFonts w:ascii="Times New Roman" w:hAnsi="Times New Roman" w:hint="eastAsia"/>
          <w:kern w:val="0"/>
          <w:sz w:val="24"/>
        </w:rPr>
        <w:t>月</w:t>
      </w:r>
      <w:r w:rsidR="00CA1CF0">
        <w:rPr>
          <w:rFonts w:ascii="Times New Roman" w:hAnsi="Times New Roman"/>
          <w:kern w:val="0"/>
          <w:sz w:val="24"/>
        </w:rPr>
        <w:t>1</w:t>
      </w:r>
      <w:r w:rsidR="00BE0C05">
        <w:rPr>
          <w:rFonts w:ascii="Times New Roman" w:hAnsi="Times New Roman"/>
          <w:kern w:val="0"/>
          <w:sz w:val="24"/>
        </w:rPr>
        <w:t>5</w:t>
      </w:r>
      <w:r>
        <w:rPr>
          <w:rFonts w:ascii="Times New Roman" w:hAnsi="Times New Roman" w:hint="eastAsia"/>
          <w:kern w:val="0"/>
          <w:sz w:val="24"/>
        </w:rPr>
        <w:t>日</w:t>
      </w:r>
    </w:p>
    <w:p w14:paraId="4038390E" w14:textId="77777777" w:rsidR="00596908" w:rsidRDefault="00596908">
      <w:pPr>
        <w:spacing w:afterLines="50" w:after="156" w:line="480" w:lineRule="exact"/>
        <w:ind w:firstLineChars="200" w:firstLine="480"/>
        <w:rPr>
          <w:rFonts w:ascii="Times New Roman" w:eastAsia="宋体" w:hAnsi="Times New Roman" w:cs="Times New Roman"/>
          <w:kern w:val="0"/>
          <w:sz w:val="24"/>
          <w:szCs w:val="20"/>
        </w:rPr>
      </w:pPr>
    </w:p>
    <w:sectPr w:rsidR="00596908">
      <w:footerReference w:type="default" r:id="rId6"/>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38E9" w14:textId="77777777" w:rsidR="005D1771" w:rsidRDefault="00C23E02">
      <w:r>
        <w:separator/>
      </w:r>
    </w:p>
  </w:endnote>
  <w:endnote w:type="continuationSeparator" w:id="0">
    <w:p w14:paraId="22E247F2" w14:textId="77777777" w:rsidR="005D1771" w:rsidRDefault="00C2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3466" w14:textId="0D45D77D" w:rsidR="00596908" w:rsidRDefault="00596908" w:rsidP="00C23E02">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B749" w14:textId="77777777" w:rsidR="005D1771" w:rsidRDefault="00C23E02">
      <w:r>
        <w:separator/>
      </w:r>
    </w:p>
  </w:footnote>
  <w:footnote w:type="continuationSeparator" w:id="0">
    <w:p w14:paraId="74C12A8A" w14:textId="77777777" w:rsidR="005D1771" w:rsidRDefault="00C23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E9"/>
    <w:rsid w:val="001458E0"/>
    <w:rsid w:val="002964AA"/>
    <w:rsid w:val="00300127"/>
    <w:rsid w:val="003A64EC"/>
    <w:rsid w:val="00445FAE"/>
    <w:rsid w:val="00474CAB"/>
    <w:rsid w:val="004A65A7"/>
    <w:rsid w:val="00536174"/>
    <w:rsid w:val="00596908"/>
    <w:rsid w:val="005D1771"/>
    <w:rsid w:val="006F41F5"/>
    <w:rsid w:val="008205F0"/>
    <w:rsid w:val="008514F2"/>
    <w:rsid w:val="00A27693"/>
    <w:rsid w:val="00AF4B4C"/>
    <w:rsid w:val="00B22942"/>
    <w:rsid w:val="00BE0C05"/>
    <w:rsid w:val="00BE27B7"/>
    <w:rsid w:val="00C23E02"/>
    <w:rsid w:val="00C87FE9"/>
    <w:rsid w:val="00CA1CF0"/>
    <w:rsid w:val="00CB6A48"/>
    <w:rsid w:val="00CD0533"/>
    <w:rsid w:val="00DC6F65"/>
    <w:rsid w:val="00DD4C95"/>
    <w:rsid w:val="00F236C9"/>
    <w:rsid w:val="00FC1D84"/>
    <w:rsid w:val="00FD0FB8"/>
    <w:rsid w:val="4BE84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A342"/>
  <w15:docId w15:val="{75B07A38-0AA8-4684-94D2-E81FEE75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rPr>
      <w:rFonts w:ascii="Times New Roman" w:eastAsia="宋体" w:hAnsi="Times New Roman" w:cs="Times New Roman"/>
      <w:szCs w:val="20"/>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王雅婷</dc:creator>
  <cp:lastModifiedBy>邓 金银</cp:lastModifiedBy>
  <cp:revision>19</cp:revision>
  <dcterms:created xsi:type="dcterms:W3CDTF">2022-04-20T07:35:00Z</dcterms:created>
  <dcterms:modified xsi:type="dcterms:W3CDTF">2022-09-14T09:59:00Z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83CA7F5A2E1B41C393636B9A59815C26</vt:lpwstr>
  </property>
</Properties>
</file>