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F843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47" w:after="160" w:line="204" w:lineRule="auto"/>
        <w:ind w:firstLineChars="0" w:firstLine="25"/>
        <w:jc w:val="left"/>
        <w:textAlignment w:val="baseline"/>
        <w:rPr>
          <w:rFonts w:ascii="Times New Roman" w:eastAsia="Times New Roman" w:hAnsi="Times New Roman"/>
          <w:snapToGrid w:val="0"/>
          <w:color w:val="000000"/>
          <w:kern w:val="0"/>
        </w:rPr>
      </w:pPr>
      <w:bookmarkStart w:id="0" w:name="_Toc79326383"/>
      <w:r>
        <w:rPr>
          <w:rFonts w:ascii="Arial" w:hAnsi="Arial" w:cs="Arial"/>
          <w:noProof/>
          <w:snapToGrid w:val="0"/>
          <w:color w:val="000000"/>
          <w:kern w:val="0"/>
          <w:sz w:val="21"/>
          <w:szCs w:val="21"/>
        </w:rPr>
        <w:drawing>
          <wp:anchor distT="0" distB="0" distL="0" distR="0" simplePos="0" relativeHeight="251659264" behindDoc="0" locked="0" layoutInCell="0" allowOverlap="1" wp14:anchorId="32366C0A" wp14:editId="6CDB7E04">
            <wp:simplePos x="0" y="0"/>
            <wp:positionH relativeFrom="page">
              <wp:posOffset>6800850</wp:posOffset>
            </wp:positionH>
            <wp:positionV relativeFrom="page">
              <wp:posOffset>10243820</wp:posOffset>
            </wp:positionV>
            <wp:extent cx="755650" cy="340360"/>
            <wp:effectExtent l="0" t="0" r="0" b="0"/>
            <wp:wrapNone/>
            <wp:docPr id="1" name="IM 1" descr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60" cy="34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snapToGrid w:val="0"/>
          <w:color w:val="000000"/>
          <w:kern w:val="0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股票简称：万里石</w:t>
      </w:r>
      <w:r>
        <w:rPr>
          <w:rFonts w:ascii="宋体" w:hAnsi="宋体" w:cs="宋体"/>
          <w:snapToGrid w:val="0"/>
          <w:color w:val="000000"/>
          <w:kern w:val="0"/>
        </w:rPr>
        <w:t xml:space="preserve">                                             </w:t>
      </w:r>
      <w:r>
        <w:rPr>
          <w:rFonts w:ascii="宋体" w:hAnsi="宋体" w:cs="宋体"/>
          <w:snapToGrid w:val="0"/>
          <w:color w:val="000000"/>
          <w:kern w:val="0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股票代码：</w:t>
      </w:r>
      <w:r>
        <w:rPr>
          <w:rFonts w:ascii="Times New Roman" w:eastAsia="Times New Roman" w:hAnsi="Times New Roman"/>
          <w:b/>
          <w:bCs/>
          <w:snapToGrid w:val="0"/>
          <w:color w:val="000000"/>
          <w:kern w:val="0"/>
        </w:rPr>
        <w:t>002785</w:t>
      </w:r>
    </w:p>
    <w:p w14:paraId="024CCE8D" w14:textId="77777777" w:rsidR="000D7A91" w:rsidRDefault="000D7A91">
      <w:pPr>
        <w:widowControl/>
        <w:kinsoku w:val="0"/>
        <w:autoSpaceDE w:val="0"/>
        <w:autoSpaceDN w:val="0"/>
        <w:adjustRightInd w:val="0"/>
        <w:snapToGrid w:val="0"/>
        <w:spacing w:after="160" w:line="240" w:lineRule="auto"/>
        <w:ind w:firstLineChars="0" w:firstLine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</w:p>
    <w:p w14:paraId="579CB124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after="160" w:line="240" w:lineRule="auto"/>
        <w:ind w:firstLineChars="0" w:firstLine="0"/>
        <w:jc w:val="center"/>
        <w:textAlignment w:val="baseline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  <w:r>
        <w:rPr>
          <w:rFonts w:ascii="Arial" w:hAnsi="Arial" w:cs="Arial"/>
          <w:noProof/>
          <w:snapToGrid w:val="0"/>
          <w:color w:val="000000"/>
          <w:kern w:val="0"/>
          <w:sz w:val="21"/>
          <w:szCs w:val="21"/>
        </w:rPr>
        <w:drawing>
          <wp:inline distT="0" distB="0" distL="0" distR="0" wp14:anchorId="3B7E5D1C" wp14:editId="79C6C62C">
            <wp:extent cx="1892300" cy="1672590"/>
            <wp:effectExtent l="0" t="0" r="0" b="38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7906" cy="178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449B95" w14:textId="77777777" w:rsidR="000D7A91" w:rsidRDefault="000D7A91">
      <w:pPr>
        <w:widowControl/>
        <w:kinsoku w:val="0"/>
        <w:autoSpaceDE w:val="0"/>
        <w:autoSpaceDN w:val="0"/>
        <w:adjustRightInd w:val="0"/>
        <w:snapToGrid w:val="0"/>
        <w:spacing w:after="160" w:line="240" w:lineRule="auto"/>
        <w:ind w:firstLineChars="0" w:firstLine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</w:p>
    <w:p w14:paraId="30116405" w14:textId="77777777" w:rsidR="000D7A91" w:rsidRDefault="000D7A91">
      <w:pPr>
        <w:widowControl/>
        <w:kinsoku w:val="0"/>
        <w:autoSpaceDE w:val="0"/>
        <w:autoSpaceDN w:val="0"/>
        <w:adjustRightInd w:val="0"/>
        <w:snapToGrid w:val="0"/>
        <w:spacing w:before="278" w:after="160" w:line="204" w:lineRule="auto"/>
        <w:ind w:firstLineChars="0" w:firstLine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</w:p>
    <w:p w14:paraId="2636D2D5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278" w:after="160" w:line="204" w:lineRule="auto"/>
        <w:ind w:firstLineChars="0" w:firstLine="0"/>
        <w:jc w:val="center"/>
        <w:textAlignment w:val="baseline"/>
        <w:rPr>
          <w:rFonts w:ascii="宋体" w:hAnsi="宋体" w:cs="宋体"/>
          <w:snapToGrid w:val="0"/>
          <w:color w:val="000000"/>
          <w:kern w:val="0"/>
          <w:sz w:val="52"/>
          <w:szCs w:val="52"/>
        </w:rPr>
      </w:pPr>
      <w:r>
        <w:rPr>
          <w:rFonts w:ascii="宋体" w:hAnsi="宋体" w:cs="宋体"/>
          <w:snapToGrid w:val="0"/>
          <w:color w:val="000000"/>
          <w:spacing w:val="-2"/>
          <w:kern w:val="0"/>
          <w:sz w:val="52"/>
          <w:szCs w:val="52"/>
          <w14:textOutline w14:w="9372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厦门万里石股份有限公司</w:t>
      </w:r>
    </w:p>
    <w:p w14:paraId="20430601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278" w:after="160" w:line="204" w:lineRule="auto"/>
        <w:ind w:firstLineChars="0" w:firstLine="0"/>
        <w:jc w:val="center"/>
        <w:textAlignment w:val="baseline"/>
        <w:rPr>
          <w:rFonts w:ascii="宋体" w:hAnsi="宋体" w:cs="宋体"/>
          <w:snapToGrid w:val="0"/>
          <w:color w:val="000000"/>
          <w:kern w:val="0"/>
          <w:sz w:val="52"/>
          <w:szCs w:val="52"/>
        </w:rPr>
      </w:pPr>
      <w:r>
        <w:rPr>
          <w:rFonts w:ascii="Times New Roman" w:eastAsia="Times New Roman" w:hAnsi="Times New Roman"/>
          <w:snapToGrid w:val="0"/>
          <w:color w:val="000000"/>
          <w:spacing w:val="-5"/>
          <w:kern w:val="0"/>
          <w:sz w:val="28"/>
          <w:szCs w:val="28"/>
        </w:rPr>
        <w:t>Xiamen</w:t>
      </w:r>
      <w:r>
        <w:rPr>
          <w:rFonts w:ascii="Times New Roman" w:eastAsia="Times New Roman" w:hAnsi="Times New Roman"/>
          <w:snapToGrid w:val="0"/>
          <w:color w:val="000000"/>
          <w:spacing w:val="35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pacing w:val="-5"/>
          <w:kern w:val="0"/>
          <w:sz w:val="28"/>
          <w:szCs w:val="28"/>
        </w:rPr>
        <w:t>Wanli</w:t>
      </w:r>
      <w:r>
        <w:rPr>
          <w:rFonts w:ascii="Times New Roman" w:eastAsia="Times New Roman" w:hAnsi="Times New Roman"/>
          <w:snapToGrid w:val="0"/>
          <w:color w:val="000000"/>
          <w:spacing w:val="14"/>
          <w:w w:val="101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pacing w:val="-5"/>
          <w:kern w:val="0"/>
          <w:sz w:val="28"/>
          <w:szCs w:val="28"/>
        </w:rPr>
        <w:t>Stone</w:t>
      </w:r>
      <w:r>
        <w:rPr>
          <w:rFonts w:ascii="Times New Roman" w:eastAsia="Times New Roman" w:hAnsi="Times New Roman"/>
          <w:snapToGrid w:val="0"/>
          <w:color w:val="000000"/>
          <w:spacing w:val="16"/>
          <w:w w:val="101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pacing w:val="-5"/>
          <w:kern w:val="0"/>
          <w:sz w:val="28"/>
          <w:szCs w:val="28"/>
        </w:rPr>
        <w:t>Stock</w:t>
      </w:r>
      <w:r>
        <w:rPr>
          <w:rFonts w:ascii="Times New Roman" w:eastAsia="Times New Roman" w:hAnsi="Times New Roman"/>
          <w:snapToGrid w:val="0"/>
          <w:color w:val="000000"/>
          <w:spacing w:val="15"/>
          <w:w w:val="101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pacing w:val="-5"/>
          <w:kern w:val="0"/>
          <w:sz w:val="28"/>
          <w:szCs w:val="28"/>
        </w:rPr>
        <w:t>Co.,</w:t>
      </w:r>
      <w:r>
        <w:rPr>
          <w:rFonts w:ascii="Times New Roman" w:eastAsia="Times New Roman" w:hAnsi="Times New Roman"/>
          <w:snapToGrid w:val="0"/>
          <w:color w:val="000000"/>
          <w:spacing w:val="1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pacing w:val="-5"/>
          <w:kern w:val="0"/>
          <w:sz w:val="28"/>
          <w:szCs w:val="28"/>
        </w:rPr>
        <w:t>Ltd</w:t>
      </w:r>
    </w:p>
    <w:p w14:paraId="464A18EC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278" w:after="160" w:line="204" w:lineRule="auto"/>
        <w:ind w:firstLineChars="0" w:firstLine="0"/>
        <w:jc w:val="center"/>
        <w:textAlignment w:val="baseline"/>
        <w:rPr>
          <w:rFonts w:ascii="宋体" w:hAnsi="宋体" w:cs="宋体"/>
          <w:snapToGrid w:val="0"/>
          <w:color w:val="000000"/>
          <w:kern w:val="0"/>
          <w:sz w:val="52"/>
          <w:szCs w:val="52"/>
        </w:rPr>
      </w:pPr>
      <w:r>
        <w:rPr>
          <w:rFonts w:ascii="宋体" w:hAnsi="宋体" w:cs="宋体"/>
          <w:snapToGrid w:val="0"/>
          <w:color w:val="000000"/>
          <w:spacing w:val="-10"/>
          <w:kern w:val="0"/>
          <w:sz w:val="28"/>
          <w:szCs w:val="28"/>
        </w:rPr>
        <w:t>（福建省厦门市思明区湖滨北路</w:t>
      </w:r>
      <w:r>
        <w:rPr>
          <w:rFonts w:ascii="宋体" w:hAnsi="宋体" w:cs="宋体"/>
          <w:snapToGrid w:val="0"/>
          <w:color w:val="000000"/>
          <w:spacing w:val="-30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pacing w:val="-10"/>
          <w:kern w:val="0"/>
          <w:sz w:val="28"/>
          <w:szCs w:val="28"/>
        </w:rPr>
        <w:t>201</w:t>
      </w:r>
      <w:r>
        <w:rPr>
          <w:rFonts w:ascii="Times New Roman" w:eastAsia="Times New Roman" w:hAnsi="Times New Roman"/>
          <w:snapToGrid w:val="0"/>
          <w:color w:val="000000"/>
          <w:spacing w:val="26"/>
          <w:kern w:val="0"/>
          <w:sz w:val="28"/>
          <w:szCs w:val="28"/>
        </w:rPr>
        <w:t xml:space="preserve"> </w:t>
      </w:r>
      <w:r>
        <w:rPr>
          <w:rFonts w:ascii="宋体" w:hAnsi="宋体" w:cs="宋体"/>
          <w:snapToGrid w:val="0"/>
          <w:color w:val="000000"/>
          <w:spacing w:val="-10"/>
          <w:kern w:val="0"/>
          <w:sz w:val="28"/>
          <w:szCs w:val="28"/>
        </w:rPr>
        <w:t>号宏业大厦</w:t>
      </w:r>
      <w:r>
        <w:rPr>
          <w:rFonts w:ascii="宋体" w:hAnsi="宋体" w:cs="宋体"/>
          <w:snapToGrid w:val="0"/>
          <w:color w:val="000000"/>
          <w:spacing w:val="-51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pacing w:val="-10"/>
          <w:kern w:val="0"/>
          <w:sz w:val="28"/>
          <w:szCs w:val="28"/>
        </w:rPr>
        <w:t>8</w:t>
      </w:r>
      <w:r>
        <w:rPr>
          <w:rFonts w:ascii="Times New Roman" w:eastAsia="Times New Roman" w:hAnsi="Times New Roman"/>
          <w:snapToGrid w:val="0"/>
          <w:color w:val="000000"/>
          <w:spacing w:val="5"/>
          <w:w w:val="101"/>
          <w:kern w:val="0"/>
          <w:sz w:val="28"/>
          <w:szCs w:val="28"/>
        </w:rPr>
        <w:t xml:space="preserve"> </w:t>
      </w:r>
      <w:r>
        <w:rPr>
          <w:rFonts w:ascii="宋体" w:hAnsi="宋体" w:cs="宋体"/>
          <w:snapToGrid w:val="0"/>
          <w:color w:val="000000"/>
          <w:spacing w:val="-10"/>
          <w:kern w:val="0"/>
          <w:sz w:val="28"/>
          <w:szCs w:val="28"/>
        </w:rPr>
        <w:t>楼）</w:t>
      </w:r>
    </w:p>
    <w:p w14:paraId="23AAF74B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1320" w:after="160" w:line="204" w:lineRule="auto"/>
        <w:ind w:firstLineChars="0" w:firstLine="0"/>
        <w:jc w:val="center"/>
        <w:textAlignment w:val="baseline"/>
        <w:rPr>
          <w:rFonts w:ascii="宋体" w:hAnsi="宋体" w:cs="宋体"/>
          <w:snapToGrid w:val="0"/>
          <w:color w:val="000000"/>
          <w:kern w:val="0"/>
          <w:sz w:val="56"/>
          <w:szCs w:val="56"/>
        </w:rPr>
      </w:pPr>
      <w:r>
        <w:rPr>
          <w:rFonts w:ascii="宋体" w:hAnsi="宋体" w:cs="宋体" w:hint="eastAsia"/>
          <w:snapToGrid w:val="0"/>
          <w:color w:val="000000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</w:t>
      </w:r>
      <w:r>
        <w:rPr>
          <w:rFonts w:ascii="宋体" w:hAnsi="宋体" w:cs="宋体"/>
          <w:snapToGrid w:val="0"/>
          <w:color w:val="000000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021</w:t>
      </w:r>
      <w:r>
        <w:rPr>
          <w:rFonts w:ascii="宋体" w:hAnsi="宋体" w:cs="宋体" w:hint="eastAsia"/>
          <w:snapToGrid w:val="0"/>
          <w:color w:val="000000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年度</w:t>
      </w:r>
      <w:r>
        <w:rPr>
          <w:rFonts w:ascii="宋体" w:hAnsi="宋体" w:cs="宋体"/>
          <w:snapToGrid w:val="0"/>
          <w:color w:val="000000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非公开发行</w:t>
      </w:r>
      <w:r>
        <w:rPr>
          <w:rFonts w:ascii="宋体" w:hAnsi="宋体" w:cs="宋体" w:hint="eastAsia"/>
          <w:snapToGrid w:val="0"/>
          <w:color w:val="000000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A股</w:t>
      </w:r>
      <w:r>
        <w:rPr>
          <w:rFonts w:ascii="宋体" w:hAnsi="宋体" w:cs="宋体"/>
          <w:snapToGrid w:val="0"/>
          <w:color w:val="000000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股票</w:t>
      </w:r>
    </w:p>
    <w:p w14:paraId="70DDBEC0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257" w:after="160" w:line="204" w:lineRule="auto"/>
        <w:ind w:firstLineChars="0" w:firstLine="0"/>
        <w:jc w:val="center"/>
        <w:textAlignment w:val="baseline"/>
        <w:rPr>
          <w:rFonts w:ascii="宋体" w:hAnsi="宋体" w:cs="宋体"/>
          <w:snapToGrid w:val="0"/>
          <w:color w:val="000000"/>
          <w:spacing w:val="2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宋体" w:hAnsi="宋体" w:cs="宋体"/>
          <w:snapToGrid w:val="0"/>
          <w:color w:val="000000"/>
          <w:spacing w:val="2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募集资金使用可行性分析报告</w:t>
      </w:r>
    </w:p>
    <w:p w14:paraId="05EBC909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257" w:after="160" w:line="204" w:lineRule="auto"/>
        <w:ind w:firstLineChars="0" w:firstLine="0"/>
        <w:jc w:val="center"/>
        <w:textAlignment w:val="baseline"/>
        <w:rPr>
          <w:rFonts w:ascii="宋体" w:hAnsi="宋体" w:cs="宋体"/>
          <w:snapToGrid w:val="0"/>
          <w:color w:val="000000"/>
          <w:spacing w:val="2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宋体" w:hAnsi="宋体" w:cs="宋体" w:hint="eastAsia"/>
          <w:snapToGrid w:val="0"/>
          <w:color w:val="000000"/>
          <w:spacing w:val="2"/>
          <w:kern w:val="0"/>
          <w:sz w:val="56"/>
          <w:szCs w:val="56"/>
          <w14:textOutline w14:w="1023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（修订稿）</w:t>
      </w:r>
    </w:p>
    <w:p w14:paraId="418C065B" w14:textId="77777777" w:rsidR="000D7A91" w:rsidRDefault="000D7A91">
      <w:pPr>
        <w:widowControl/>
        <w:kinsoku w:val="0"/>
        <w:autoSpaceDE w:val="0"/>
        <w:autoSpaceDN w:val="0"/>
        <w:adjustRightInd w:val="0"/>
        <w:snapToGrid w:val="0"/>
        <w:spacing w:before="257" w:after="160" w:line="204" w:lineRule="auto"/>
        <w:ind w:firstLineChars="0" w:firstLine="0"/>
        <w:jc w:val="center"/>
        <w:textAlignment w:val="baseline"/>
        <w:rPr>
          <w:rFonts w:ascii="Times New Roman" w:hAnsi="Times New Roman"/>
          <w:b/>
          <w:bCs/>
          <w:color w:val="000000"/>
          <w:sz w:val="40"/>
          <w:szCs w:val="40"/>
        </w:rPr>
      </w:pPr>
    </w:p>
    <w:p w14:paraId="33DCB1B8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257" w:after="160" w:line="204" w:lineRule="auto"/>
        <w:ind w:firstLineChars="0" w:firstLine="0"/>
        <w:jc w:val="center"/>
        <w:textAlignment w:val="baseline"/>
        <w:rPr>
          <w:rFonts w:ascii="宋体" w:hAnsi="宋体" w:cs="宋体"/>
          <w:snapToGrid w:val="0"/>
          <w:color w:val="000000"/>
          <w:kern w:val="0"/>
          <w:sz w:val="56"/>
          <w:szCs w:val="56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二〇二</w:t>
      </w:r>
      <w:r>
        <w:rPr>
          <w:rFonts w:ascii="Times New Roman" w:hAnsi="Times New Roman" w:hint="eastAsia"/>
          <w:b/>
          <w:bCs/>
          <w:color w:val="000000"/>
          <w:sz w:val="40"/>
          <w:szCs w:val="40"/>
        </w:rPr>
        <w:t>二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>年</w:t>
      </w:r>
      <w:r>
        <w:rPr>
          <w:rFonts w:ascii="Times New Roman" w:hAnsi="Times New Roman" w:hint="eastAsia"/>
          <w:b/>
          <w:bCs/>
          <w:color w:val="000000"/>
          <w:sz w:val="40"/>
          <w:szCs w:val="40"/>
        </w:rPr>
        <w:t>九月</w:t>
      </w:r>
    </w:p>
    <w:p w14:paraId="349A9F75" w14:textId="77777777" w:rsidR="000D7A91" w:rsidRDefault="00597D33">
      <w:pPr>
        <w:widowControl/>
        <w:spacing w:after="160" w:line="259" w:lineRule="auto"/>
        <w:ind w:firstLineChars="0" w:firstLine="0"/>
        <w:jc w:val="left"/>
        <w:rPr>
          <w:rFonts w:ascii="Times New Roman" w:hAnsi="Times New Roman"/>
          <w:b/>
          <w:sz w:val="28"/>
          <w:szCs w:val="28"/>
          <w:lang w:val="zh-CN"/>
        </w:rPr>
      </w:pPr>
      <w:r>
        <w:rPr>
          <w:rFonts w:ascii="Times New Roman" w:hAnsi="Times New Roman"/>
        </w:rPr>
        <w:br w:type="page"/>
      </w:r>
    </w:p>
    <w:p w14:paraId="2AE42D83" w14:textId="77777777" w:rsidR="000D7A91" w:rsidRDefault="00597D33">
      <w:pPr>
        <w:spacing w:beforeLines="50" w:before="120"/>
        <w:ind w:firstLine="562"/>
        <w:outlineLvl w:val="1"/>
        <w:rPr>
          <w:rFonts w:ascii="Times New Roman" w:hAnsi="Times New Roman"/>
          <w:b/>
          <w:sz w:val="28"/>
          <w:szCs w:val="28"/>
          <w:lang w:val="zh-CN"/>
        </w:rPr>
      </w:pPr>
      <w:r>
        <w:rPr>
          <w:rFonts w:ascii="Times New Roman" w:hAnsi="Times New Roman"/>
          <w:b/>
          <w:sz w:val="28"/>
          <w:szCs w:val="28"/>
          <w:lang w:val="zh-CN"/>
        </w:rPr>
        <w:lastRenderedPageBreak/>
        <w:t>一、本次募集资金使用计划</w:t>
      </w:r>
      <w:bookmarkEnd w:id="0"/>
    </w:p>
    <w:p w14:paraId="0EB2C48C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/>
        </w:rPr>
        <w:t>本次发行股票募集资金总额不超过</w:t>
      </w:r>
      <w:r>
        <w:rPr>
          <w:rFonts w:ascii="Times New Roman" w:hAnsi="Times New Roman" w:hint="eastAsia"/>
        </w:rPr>
        <w:t>403,999,977</w:t>
      </w:r>
      <w:r>
        <w:rPr>
          <w:rFonts w:ascii="Times New Roman" w:hAnsi="Times New Roman" w:hint="eastAsia"/>
        </w:rPr>
        <w:t>元（含）</w:t>
      </w:r>
      <w:r>
        <w:rPr>
          <w:rFonts w:ascii="Times New Roman" w:hAnsi="Times New Roman"/>
        </w:rPr>
        <w:t>，扣除发行费用后将用于补充公司</w:t>
      </w:r>
      <w:r>
        <w:rPr>
          <w:rFonts w:ascii="Times New Roman" w:hAnsi="Times New Roman" w:hint="eastAsia"/>
        </w:rPr>
        <w:t>运营</w:t>
      </w:r>
      <w:r>
        <w:rPr>
          <w:rFonts w:ascii="Times New Roman" w:hAnsi="Times New Roman"/>
        </w:rPr>
        <w:t>资金和偿还银行贷款。</w:t>
      </w:r>
    </w:p>
    <w:p w14:paraId="7B2AED0C" w14:textId="77777777" w:rsidR="000D7A91" w:rsidRDefault="00597D33">
      <w:pPr>
        <w:spacing w:beforeLines="50" w:before="120"/>
        <w:ind w:firstLine="562"/>
        <w:outlineLvl w:val="1"/>
        <w:rPr>
          <w:rFonts w:ascii="Times New Roman" w:hAnsi="Times New Roman"/>
          <w:b/>
          <w:sz w:val="28"/>
          <w:szCs w:val="28"/>
          <w:lang w:val="zh-CN"/>
        </w:rPr>
      </w:pPr>
      <w:bookmarkStart w:id="1" w:name="_Toc79326384"/>
      <w:r>
        <w:rPr>
          <w:rFonts w:ascii="Times New Roman" w:hAnsi="Times New Roman"/>
          <w:b/>
          <w:sz w:val="28"/>
          <w:szCs w:val="28"/>
          <w:lang w:val="zh-CN"/>
        </w:rPr>
        <w:t>二、本次募集资金的必要性和可行性</w:t>
      </w:r>
      <w:bookmarkEnd w:id="1"/>
    </w:p>
    <w:p w14:paraId="38D4DC6C" w14:textId="77777777" w:rsidR="000D7A91" w:rsidRDefault="00597D33">
      <w:pPr>
        <w:ind w:firstLine="482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（一）本次募集资金的必要性</w:t>
      </w:r>
    </w:p>
    <w:p w14:paraId="5918E6D6" w14:textId="77777777" w:rsidR="000D7A91" w:rsidRDefault="00597D33">
      <w:pPr>
        <w:widowControl/>
        <w:ind w:firstLine="482"/>
        <w:outlineLvl w:val="3"/>
        <w:rPr>
          <w:rFonts w:ascii="Times New Roman" w:hAnsi="Times New Roman"/>
          <w:b/>
          <w:kern w:val="0"/>
          <w:szCs w:val="20"/>
          <w:lang w:val="zh-CN"/>
        </w:rPr>
      </w:pPr>
      <w:r>
        <w:rPr>
          <w:rFonts w:ascii="Times New Roman" w:hAnsi="Times New Roman" w:hint="eastAsia"/>
          <w:b/>
          <w:kern w:val="0"/>
          <w:szCs w:val="20"/>
          <w:lang w:val="zh-CN"/>
        </w:rPr>
        <w:t>1</w:t>
      </w:r>
      <w:r>
        <w:rPr>
          <w:rFonts w:ascii="Times New Roman" w:hAnsi="Times New Roman"/>
          <w:b/>
          <w:kern w:val="0"/>
          <w:szCs w:val="20"/>
          <w:lang w:val="zh-CN"/>
        </w:rPr>
        <w:t>、围绕公司战略重点，为公司战略部署提供资金支持</w:t>
      </w:r>
    </w:p>
    <w:p w14:paraId="2B5C8426" w14:textId="77777777" w:rsidR="000D7A91" w:rsidRDefault="00597D33">
      <w:pPr>
        <w:widowControl/>
        <w:outlineLvl w:val="3"/>
        <w:rPr>
          <w:rFonts w:ascii="Times New Roman" w:hAnsi="Times New Roman"/>
        </w:rPr>
      </w:pPr>
      <w:r>
        <w:rPr>
          <w:rFonts w:ascii="Times New Roman" w:hAnsi="Times New Roman" w:hint="eastAsia"/>
        </w:rPr>
        <w:t>公司定位中高端市场，通过收购及采购国内外优质石材资源，整合石材企业加工能力，控制管理销售重点地区，贴近终端用户，采用自主研发与石材创意应用结合，通过全球采购和自给荒料供应、自制和</w:t>
      </w:r>
      <w:r>
        <w:rPr>
          <w:rFonts w:ascii="Times New Roman" w:hAnsi="Times New Roman" w:hint="eastAsia"/>
        </w:rPr>
        <w:t>OEM</w:t>
      </w:r>
      <w:r>
        <w:rPr>
          <w:rFonts w:ascii="Times New Roman" w:hAnsi="Times New Roman" w:hint="eastAsia"/>
        </w:rPr>
        <w:t>生产相结合，实现石材多品种供应，满足中高端客户的个性化需求。公司计划在中高端家装石材开展全屋定制，加强产品在互联网上的线上推广，拓宽市场渠道。</w:t>
      </w:r>
    </w:p>
    <w:p w14:paraId="17466892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为实现上述战略，公司在成品生产、技术研发以及市场拓展等环节，均需要合理统筹安排资金。本次发行将为公司发展战略的实现提供重要的资金支持，不断提高公司的行业竞争地位，从而实现做大、做强公司核心业务的发展目标。本次发行有利于为公司加大研发投入和拓展销售网络提供资金支持，提高公司市场竞争力。</w:t>
      </w:r>
    </w:p>
    <w:p w14:paraId="03265673" w14:textId="77777777" w:rsidR="000D7A91" w:rsidRDefault="00597D33">
      <w:pPr>
        <w:widowControl/>
        <w:ind w:firstLine="482"/>
        <w:outlineLvl w:val="3"/>
        <w:rPr>
          <w:rFonts w:ascii="Times New Roman" w:hAnsi="Times New Roman"/>
          <w:b/>
          <w:kern w:val="0"/>
          <w:szCs w:val="20"/>
          <w:lang w:val="zh-CN"/>
        </w:rPr>
      </w:pPr>
      <w:r>
        <w:rPr>
          <w:rFonts w:ascii="Times New Roman" w:hAnsi="Times New Roman"/>
          <w:b/>
          <w:kern w:val="0"/>
          <w:szCs w:val="20"/>
          <w:lang w:val="zh-CN"/>
        </w:rPr>
        <w:t>2</w:t>
      </w:r>
      <w:r>
        <w:rPr>
          <w:rFonts w:ascii="Times New Roman" w:hAnsi="Times New Roman"/>
          <w:b/>
          <w:kern w:val="0"/>
          <w:szCs w:val="20"/>
          <w:lang w:val="zh-CN"/>
        </w:rPr>
        <w:t>、本次发行有利于</w:t>
      </w:r>
      <w:r>
        <w:rPr>
          <w:rFonts w:ascii="Times New Roman" w:hAnsi="Times New Roman" w:hint="eastAsia"/>
          <w:b/>
          <w:kern w:val="0"/>
          <w:szCs w:val="20"/>
          <w:lang w:val="zh-CN"/>
        </w:rPr>
        <w:t>第一大股东提高持股比例，取得并巩固</w:t>
      </w:r>
      <w:r>
        <w:rPr>
          <w:rFonts w:ascii="Times New Roman" w:hAnsi="Times New Roman"/>
          <w:b/>
          <w:kern w:val="0"/>
          <w:szCs w:val="20"/>
          <w:lang w:val="zh-CN"/>
        </w:rPr>
        <w:t>控制权</w:t>
      </w:r>
    </w:p>
    <w:p w14:paraId="70CF3019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/>
        </w:rPr>
        <w:t>基于对公司价值的判断和未来发展的信心，公司第一大股东</w:t>
      </w:r>
      <w:proofErr w:type="gramStart"/>
      <w:r>
        <w:rPr>
          <w:rFonts w:ascii="Times New Roman" w:hAnsi="Times New Roman"/>
        </w:rPr>
        <w:t>胡精沛</w:t>
      </w:r>
      <w:r>
        <w:rPr>
          <w:rFonts w:ascii="Times New Roman" w:hAnsi="Times New Roman" w:hint="eastAsia"/>
        </w:rPr>
        <w:t>先生</w:t>
      </w:r>
      <w:proofErr w:type="gramEnd"/>
      <w:r>
        <w:rPr>
          <w:rFonts w:ascii="Times New Roman" w:hAnsi="Times New Roman"/>
        </w:rPr>
        <w:t>拟通过其全资控股的哈富矿业认购本次发行的股票，</w:t>
      </w:r>
      <w:r>
        <w:rPr>
          <w:rFonts w:ascii="Times New Roman" w:hAnsi="Times New Roman" w:hint="eastAsia"/>
        </w:rPr>
        <w:t>并承诺认购的本次发行的股票自发行结束之日起</w:t>
      </w:r>
      <w:r>
        <w:rPr>
          <w:rFonts w:ascii="Times New Roman" w:hAnsi="Times New Roman"/>
        </w:rPr>
        <w:t>18</w:t>
      </w:r>
      <w:r>
        <w:rPr>
          <w:rFonts w:ascii="Times New Roman" w:hAnsi="Times New Roman" w:hint="eastAsia"/>
        </w:rPr>
        <w:t>个月内不得转让。本次发行完成后，</w:t>
      </w:r>
      <w:proofErr w:type="gramStart"/>
      <w:r>
        <w:rPr>
          <w:rFonts w:ascii="Times New Roman" w:hAnsi="Times New Roman" w:hint="eastAsia"/>
        </w:rPr>
        <w:t>胡精沛先生</w:t>
      </w:r>
      <w:proofErr w:type="gramEnd"/>
      <w:r>
        <w:rPr>
          <w:rFonts w:ascii="Times New Roman" w:hAnsi="Times New Roman" w:hint="eastAsia"/>
        </w:rPr>
        <w:t>将</w:t>
      </w:r>
      <w:r>
        <w:rPr>
          <w:rFonts w:ascii="Times New Roman" w:hAnsi="Times New Roman"/>
        </w:rPr>
        <w:t>成为公司的实际控制人</w:t>
      </w:r>
      <w:r>
        <w:rPr>
          <w:rFonts w:ascii="Times New Roman" w:hAnsi="Times New Roman" w:hint="eastAsia"/>
        </w:rPr>
        <w:t>。通过本次发行，</w:t>
      </w:r>
      <w:proofErr w:type="gramStart"/>
      <w:r>
        <w:rPr>
          <w:rFonts w:ascii="Times New Roman" w:hAnsi="Times New Roman" w:hint="eastAsia"/>
        </w:rPr>
        <w:t>胡精沛先生</w:t>
      </w:r>
      <w:proofErr w:type="gramEnd"/>
      <w:r>
        <w:rPr>
          <w:rFonts w:ascii="Times New Roman" w:hAnsi="Times New Roman" w:hint="eastAsia"/>
        </w:rPr>
        <w:t>取得并巩固控制权，</w:t>
      </w:r>
      <w:r>
        <w:rPr>
          <w:rFonts w:ascii="Times New Roman" w:hAnsi="Times New Roman"/>
        </w:rPr>
        <w:t>为公司后续发展补充</w:t>
      </w:r>
      <w:r>
        <w:rPr>
          <w:rFonts w:ascii="Times New Roman" w:hAnsi="Times New Roman" w:hint="eastAsia"/>
        </w:rPr>
        <w:t>运营</w:t>
      </w:r>
      <w:r>
        <w:rPr>
          <w:rFonts w:ascii="Times New Roman" w:hAnsi="Times New Roman"/>
        </w:rPr>
        <w:t>资金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有利于维护公司中小股东的利益，符合公司和全体股东的利益。</w:t>
      </w:r>
    </w:p>
    <w:p w14:paraId="5775235F" w14:textId="77777777" w:rsidR="000D7A91" w:rsidRDefault="00597D33">
      <w:pPr>
        <w:ind w:firstLine="482"/>
        <w:outlineLvl w:val="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（二）本次募集资金的可行性</w:t>
      </w:r>
    </w:p>
    <w:p w14:paraId="43DAE0D5" w14:textId="77777777" w:rsidR="000D7A91" w:rsidRDefault="00597D33">
      <w:pPr>
        <w:widowControl/>
        <w:ind w:firstLine="482"/>
        <w:outlineLvl w:val="3"/>
        <w:rPr>
          <w:rFonts w:ascii="Times New Roman" w:hAnsi="Times New Roman"/>
          <w:b/>
          <w:kern w:val="0"/>
          <w:szCs w:val="20"/>
          <w:lang w:val="zh-CN"/>
        </w:rPr>
      </w:pPr>
      <w:r>
        <w:rPr>
          <w:rFonts w:ascii="Times New Roman" w:hAnsi="Times New Roman"/>
          <w:b/>
          <w:kern w:val="0"/>
          <w:szCs w:val="20"/>
          <w:lang w:val="zh-CN"/>
        </w:rPr>
        <w:t>1</w:t>
      </w:r>
      <w:r>
        <w:rPr>
          <w:rFonts w:ascii="Times New Roman" w:hAnsi="Times New Roman"/>
          <w:b/>
          <w:kern w:val="0"/>
          <w:szCs w:val="20"/>
          <w:lang w:val="zh-CN"/>
        </w:rPr>
        <w:t>、本次发行募集资金使用符合法律法规的规定</w:t>
      </w:r>
    </w:p>
    <w:p w14:paraId="3EF025BE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/>
        </w:rPr>
        <w:t>本次发行的募集资金</w:t>
      </w:r>
      <w:r>
        <w:rPr>
          <w:rFonts w:ascii="Times New Roman" w:hAnsi="Times New Roman" w:hint="eastAsia"/>
        </w:rPr>
        <w:t>扣除发行费用后将</w:t>
      </w:r>
      <w:r>
        <w:rPr>
          <w:rFonts w:ascii="Times New Roman" w:hAnsi="Times New Roman"/>
        </w:rPr>
        <w:t>用于补充运营资金和偿还银行</w:t>
      </w:r>
      <w:r>
        <w:rPr>
          <w:rFonts w:ascii="Times New Roman" w:hAnsi="Times New Roman" w:hint="eastAsia"/>
        </w:rPr>
        <w:t>贷</w:t>
      </w:r>
      <w:r>
        <w:rPr>
          <w:rFonts w:ascii="Times New Roman" w:hAnsi="Times New Roman"/>
        </w:rPr>
        <w:t>款</w:t>
      </w:r>
      <w:r>
        <w:rPr>
          <w:rFonts w:ascii="Times New Roman" w:hAnsi="Times New Roman" w:hint="eastAsia"/>
        </w:rPr>
        <w:t>，</w:t>
      </w:r>
      <w:r>
        <w:rPr>
          <w:rFonts w:ascii="Times New Roman" w:hAnsi="Times New Roman"/>
        </w:rPr>
        <w:t>符合相关政策和法律法规的规定，符合公司当前的实际发展情况</w:t>
      </w:r>
      <w:r>
        <w:rPr>
          <w:rFonts w:ascii="Times New Roman" w:hAnsi="Times New Roman" w:hint="eastAsia"/>
        </w:rPr>
        <w:t>。</w:t>
      </w:r>
      <w:r>
        <w:rPr>
          <w:rFonts w:ascii="Times New Roman" w:hAnsi="Times New Roman"/>
        </w:rPr>
        <w:t>本次发行募集资金到位后，公司净资产和营运资金将有所增加，有息负债有所下降，有利于增强公司资本实力、优化资本结构，</w:t>
      </w:r>
      <w:r>
        <w:rPr>
          <w:rFonts w:ascii="Times New Roman" w:hAnsi="Times New Roman" w:hint="eastAsia"/>
        </w:rPr>
        <w:t>在</w:t>
      </w:r>
      <w:r>
        <w:rPr>
          <w:rFonts w:ascii="Times New Roman" w:hAnsi="Times New Roman"/>
        </w:rPr>
        <w:t>夯实公司原有业务竞争优势基础上，逐步升级并完善多维度的战略发展方向，持</w:t>
      </w:r>
      <w:r>
        <w:rPr>
          <w:rFonts w:ascii="Times New Roman" w:hAnsi="Times New Roman"/>
        </w:rPr>
        <w:lastRenderedPageBreak/>
        <w:t>续推进新市场、新业务布局，提高公司盈利水平及市场竞争力，推动公司</w:t>
      </w:r>
      <w:r>
        <w:rPr>
          <w:rFonts w:ascii="Times New Roman" w:hAnsi="Times New Roman" w:hint="eastAsia"/>
        </w:rPr>
        <w:t>主营</w:t>
      </w:r>
      <w:r>
        <w:rPr>
          <w:rFonts w:ascii="Times New Roman" w:hAnsi="Times New Roman"/>
        </w:rPr>
        <w:t>业务持续健康发展。</w:t>
      </w:r>
    </w:p>
    <w:p w14:paraId="1DE4C61D" w14:textId="77777777" w:rsidR="000D7A91" w:rsidRDefault="00597D33">
      <w:pPr>
        <w:widowControl/>
        <w:ind w:firstLine="482"/>
        <w:outlineLvl w:val="3"/>
        <w:rPr>
          <w:rFonts w:ascii="Times New Roman" w:hAnsi="Times New Roman"/>
          <w:b/>
          <w:kern w:val="0"/>
          <w:szCs w:val="20"/>
          <w:lang w:val="zh-CN"/>
        </w:rPr>
      </w:pPr>
      <w:r>
        <w:rPr>
          <w:rFonts w:ascii="Times New Roman" w:hAnsi="Times New Roman"/>
          <w:b/>
          <w:kern w:val="0"/>
          <w:szCs w:val="20"/>
          <w:lang w:val="zh-CN"/>
        </w:rPr>
        <w:t>2</w:t>
      </w:r>
      <w:r>
        <w:rPr>
          <w:rFonts w:ascii="Times New Roman" w:hAnsi="Times New Roman"/>
          <w:b/>
          <w:kern w:val="0"/>
          <w:szCs w:val="20"/>
          <w:lang w:val="zh-CN"/>
        </w:rPr>
        <w:t>、发行人治理规范、内控完整</w:t>
      </w:r>
    </w:p>
    <w:p w14:paraId="6C910313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/>
        </w:rPr>
        <w:t>公司已按照上市公司的治理标准，建立健全了法人治理结构，</w:t>
      </w:r>
      <w:r>
        <w:rPr>
          <w:rFonts w:ascii="Times New Roman" w:hAnsi="Times New Roman" w:hint="eastAsia"/>
        </w:rPr>
        <w:t>不断改进和完善</w:t>
      </w:r>
      <w:r>
        <w:rPr>
          <w:rFonts w:ascii="Times New Roman" w:hAnsi="Times New Roman"/>
        </w:rPr>
        <w:t>股东大会、董事会、监事会和管理层的独立运行机制，形成了较为规范、标准的公司治理体系和较为完善的内部控制程序。</w:t>
      </w:r>
    </w:p>
    <w:p w14:paraId="122FE71E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/>
        </w:rPr>
        <w:t>公司在募集资金管理方面按照监管要求，建立了《募集资金管理制度》，对募集资金的保管、使用、投向以及监督等方面做出了明确规定。本次发行募集资金到位之后，公司董事</w:t>
      </w:r>
      <w:r>
        <w:rPr>
          <w:rFonts w:ascii="Times New Roman" w:hAnsi="Times New Roman" w:hint="eastAsia"/>
        </w:rPr>
        <w:t>会</w:t>
      </w:r>
      <w:r>
        <w:rPr>
          <w:rFonts w:ascii="Times New Roman" w:hAnsi="Times New Roman"/>
        </w:rPr>
        <w:t>将持续监督公司对募集资金的存放与使用，从而保证募集资金规范合理的使用。</w:t>
      </w:r>
    </w:p>
    <w:p w14:paraId="52C21D13" w14:textId="77777777" w:rsidR="000D7A91" w:rsidRDefault="00597D33">
      <w:pPr>
        <w:spacing w:beforeLines="50" w:before="120"/>
        <w:ind w:firstLine="562"/>
        <w:outlineLvl w:val="1"/>
        <w:rPr>
          <w:rFonts w:ascii="Times New Roman" w:hAnsi="Times New Roman"/>
          <w:b/>
          <w:sz w:val="28"/>
          <w:szCs w:val="28"/>
          <w:lang w:val="zh-CN"/>
        </w:rPr>
      </w:pPr>
      <w:bookmarkStart w:id="2" w:name="_Toc79326385"/>
      <w:r>
        <w:rPr>
          <w:rFonts w:ascii="Times New Roman" w:hAnsi="Times New Roman"/>
          <w:b/>
          <w:sz w:val="28"/>
          <w:szCs w:val="28"/>
          <w:lang w:val="zh-CN"/>
        </w:rPr>
        <w:t>三、本次发行对财务状况及经营管理的影响</w:t>
      </w:r>
      <w:bookmarkEnd w:id="2"/>
    </w:p>
    <w:p w14:paraId="7BE23E10" w14:textId="77777777" w:rsidR="000D7A91" w:rsidRDefault="00597D33">
      <w:pPr>
        <w:widowControl/>
        <w:ind w:firstLine="482"/>
        <w:outlineLvl w:val="3"/>
        <w:rPr>
          <w:rFonts w:ascii="Times New Roman" w:hAnsi="Times New Roman"/>
          <w:b/>
          <w:kern w:val="0"/>
          <w:szCs w:val="20"/>
          <w:lang w:val="zh-CN"/>
        </w:rPr>
      </w:pPr>
      <w:r>
        <w:rPr>
          <w:rFonts w:ascii="Times New Roman" w:hAnsi="Times New Roman"/>
          <w:b/>
          <w:kern w:val="0"/>
          <w:szCs w:val="20"/>
          <w:lang w:val="zh-CN"/>
        </w:rPr>
        <w:t>1</w:t>
      </w:r>
      <w:r>
        <w:rPr>
          <w:rFonts w:ascii="Times New Roman" w:hAnsi="Times New Roman"/>
          <w:b/>
          <w:kern w:val="0"/>
          <w:szCs w:val="20"/>
          <w:lang w:val="zh-CN"/>
        </w:rPr>
        <w:t>、对公司经营管理的影响</w:t>
      </w:r>
    </w:p>
    <w:p w14:paraId="3173D5B0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/>
        </w:rPr>
        <w:t>本次募集资金</w:t>
      </w:r>
      <w:r>
        <w:rPr>
          <w:rFonts w:ascii="Times New Roman" w:hAnsi="Times New Roman" w:hint="eastAsia"/>
        </w:rPr>
        <w:t>使用</w:t>
      </w:r>
      <w:r>
        <w:rPr>
          <w:rFonts w:ascii="Times New Roman" w:hAnsi="Times New Roman"/>
        </w:rPr>
        <w:t>符合国家相关政策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行业发展规划以及公司未来整体发展战略。本次募</w:t>
      </w:r>
      <w:r>
        <w:rPr>
          <w:rFonts w:ascii="Times New Roman" w:hAnsi="Times New Roman" w:hint="eastAsia"/>
        </w:rPr>
        <w:t>集资金到位并</w:t>
      </w:r>
      <w:r>
        <w:rPr>
          <w:rFonts w:ascii="Times New Roman" w:hAnsi="Times New Roman"/>
        </w:rPr>
        <w:t>实施完毕后，公司资本金将进一步充实，有利于提高公司竞争</w:t>
      </w:r>
      <w:r>
        <w:rPr>
          <w:rFonts w:ascii="Times New Roman" w:hAnsi="Times New Roman" w:hint="eastAsia"/>
        </w:rPr>
        <w:t>实</w:t>
      </w:r>
      <w:r>
        <w:rPr>
          <w:rFonts w:ascii="Times New Roman" w:hAnsi="Times New Roman"/>
        </w:rPr>
        <w:t>力和盈利能力。</w:t>
      </w:r>
    </w:p>
    <w:p w14:paraId="43D98DBD" w14:textId="77777777" w:rsidR="000D7A91" w:rsidRDefault="00597D33">
      <w:pPr>
        <w:widowControl/>
        <w:ind w:firstLine="482"/>
        <w:outlineLvl w:val="3"/>
        <w:rPr>
          <w:rFonts w:ascii="Times New Roman" w:hAnsi="Times New Roman"/>
          <w:b/>
          <w:kern w:val="0"/>
          <w:szCs w:val="20"/>
          <w:lang w:val="zh-CN"/>
        </w:rPr>
      </w:pPr>
      <w:r>
        <w:rPr>
          <w:rFonts w:ascii="Times New Roman" w:hAnsi="Times New Roman"/>
          <w:b/>
          <w:kern w:val="0"/>
          <w:szCs w:val="20"/>
          <w:lang w:val="zh-CN"/>
        </w:rPr>
        <w:t>2</w:t>
      </w:r>
      <w:r>
        <w:rPr>
          <w:rFonts w:ascii="Times New Roman" w:hAnsi="Times New Roman"/>
          <w:b/>
          <w:kern w:val="0"/>
          <w:szCs w:val="20"/>
          <w:lang w:val="zh-CN"/>
        </w:rPr>
        <w:t>、对公司财务状况的影响</w:t>
      </w:r>
    </w:p>
    <w:p w14:paraId="0C1F6C79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/>
        </w:rPr>
        <w:t>本次发行完成后，公司总资产与净资产规模将同时增加，有利于增强公司抵御财务风险的能力，进一步优化资产结构，降低财务成本和财务风险，增强未来的持续经营能力。</w:t>
      </w:r>
    </w:p>
    <w:p w14:paraId="2C910525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/>
        </w:rPr>
        <w:t>综上，本次发行</w:t>
      </w:r>
      <w:r>
        <w:rPr>
          <w:rFonts w:ascii="Times New Roman" w:hAnsi="Times New Roman" w:hint="eastAsia"/>
        </w:rPr>
        <w:t>将</w:t>
      </w:r>
      <w:r>
        <w:rPr>
          <w:rFonts w:ascii="Times New Roman" w:hAnsi="Times New Roman"/>
        </w:rPr>
        <w:t>为公司未来发展奠定良好的基础，</w:t>
      </w:r>
      <w:r>
        <w:rPr>
          <w:rFonts w:ascii="Times New Roman" w:hAnsi="Times New Roman" w:hint="eastAsia"/>
        </w:rPr>
        <w:t>本次</w:t>
      </w:r>
      <w:r>
        <w:rPr>
          <w:rFonts w:ascii="Times New Roman" w:hAnsi="Times New Roman"/>
        </w:rPr>
        <w:t>募集资金到位后公司资产规模将进一步扩张，有利于增强公司的竞争力。因此，本次发行符合公司及公司全体股东的利益。</w:t>
      </w:r>
    </w:p>
    <w:p w14:paraId="527F3634" w14:textId="77777777" w:rsidR="000D7A91" w:rsidRDefault="00597D33">
      <w:pPr>
        <w:spacing w:beforeLines="50" w:before="120"/>
        <w:ind w:firstLine="562"/>
        <w:outlineLvl w:val="1"/>
        <w:rPr>
          <w:rFonts w:ascii="Times New Roman" w:hAnsi="Times New Roman"/>
          <w:b/>
          <w:sz w:val="28"/>
          <w:szCs w:val="28"/>
          <w:lang w:val="zh-CN"/>
        </w:rPr>
      </w:pPr>
      <w:r>
        <w:rPr>
          <w:rFonts w:ascii="Times New Roman" w:hAnsi="Times New Roman"/>
          <w:b/>
          <w:sz w:val="28"/>
          <w:szCs w:val="28"/>
          <w:lang w:val="zh-CN"/>
        </w:rPr>
        <w:t>四、本次募集资金使用的可行性分析结论</w:t>
      </w:r>
    </w:p>
    <w:p w14:paraId="754F59F4" w14:textId="77777777" w:rsidR="000D7A91" w:rsidRDefault="00597D33">
      <w:pPr>
        <w:rPr>
          <w:rFonts w:ascii="Times New Roman" w:hAnsi="Times New Roman"/>
        </w:rPr>
      </w:pPr>
      <w:r>
        <w:rPr>
          <w:rFonts w:ascii="Times New Roman" w:hAnsi="Times New Roman"/>
        </w:rPr>
        <w:t>综上所述，本次发行募集资金使用计划符合相关政策和法律法规，以及未来公司整体战略发展规划，具备必要性和可行性。本次募集资金的到位和投入使用，有利于满足公司业务发展的资金需求，改善公司财务状况，提高公司的核心竞争力，符合全体股东的利益。</w:t>
      </w:r>
    </w:p>
    <w:p w14:paraId="003AE985" w14:textId="77777777" w:rsidR="000D7A91" w:rsidRDefault="000D7A91">
      <w:pPr>
        <w:rPr>
          <w:rFonts w:ascii="Times New Roman" w:hAnsi="Times New Roman"/>
          <w:lang w:val="zh-CN"/>
        </w:rPr>
      </w:pPr>
    </w:p>
    <w:p w14:paraId="6F1D3ACD" w14:textId="77777777" w:rsidR="000D7A91" w:rsidRDefault="00597D33">
      <w:pPr>
        <w:widowControl/>
        <w:spacing w:after="160" w:line="259" w:lineRule="auto"/>
        <w:ind w:firstLineChars="0" w:firstLine="0"/>
        <w:jc w:val="left"/>
        <w:rPr>
          <w:rFonts w:ascii="宋体" w:hAnsi="宋体" w:cs="宋体"/>
          <w:snapToGrid w:val="0"/>
          <w:color w:val="000000"/>
          <w:spacing w:val="-7"/>
          <w:kern w:val="0"/>
        </w:rPr>
      </w:pPr>
      <w:r>
        <w:rPr>
          <w:rFonts w:ascii="宋体" w:hAnsi="宋体" w:cs="宋体"/>
          <w:snapToGrid w:val="0"/>
          <w:color w:val="000000"/>
          <w:spacing w:val="-7"/>
          <w:kern w:val="0"/>
        </w:rPr>
        <w:br w:type="page"/>
      </w:r>
    </w:p>
    <w:p w14:paraId="4F65C01C" w14:textId="735D2D9D" w:rsidR="000D7A91" w:rsidRDefault="00597D33">
      <w:pPr>
        <w:ind w:firstLineChars="0" w:firstLine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0" distR="0" simplePos="0" relativeHeight="251660288" behindDoc="0" locked="0" layoutInCell="0" allowOverlap="1" wp14:anchorId="59AD7F5E" wp14:editId="6FFC1CE0">
            <wp:simplePos x="0" y="0"/>
            <wp:positionH relativeFrom="page">
              <wp:posOffset>6800850</wp:posOffset>
            </wp:positionH>
            <wp:positionV relativeFrom="page">
              <wp:posOffset>10243820</wp:posOffset>
            </wp:positionV>
            <wp:extent cx="755650" cy="340360"/>
            <wp:effectExtent l="0" t="0" r="0" b="0"/>
            <wp:wrapNone/>
            <wp:docPr id="6" name="IM 6" descr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 descr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60" cy="34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（本页无正文，为《厦门万里石股份有限公司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>021</w:t>
      </w:r>
      <w:r>
        <w:rPr>
          <w:rFonts w:ascii="Times New Roman" w:hAnsi="Times New Roman" w:hint="eastAsia"/>
        </w:rPr>
        <w:t>年度</w:t>
      </w:r>
      <w:r>
        <w:rPr>
          <w:rFonts w:ascii="Times New Roman" w:hAnsi="Times New Roman"/>
        </w:rPr>
        <w:t>非公开发行股票募集资金使用的可行性分析报告</w:t>
      </w:r>
      <w:r w:rsidR="00D51899">
        <w:rPr>
          <w:rFonts w:ascii="Times New Roman" w:hAnsi="Times New Roman" w:hint="eastAsia"/>
        </w:rPr>
        <w:t>（修订稿）</w:t>
      </w:r>
      <w:r>
        <w:rPr>
          <w:rFonts w:ascii="Times New Roman" w:hAnsi="Times New Roman"/>
        </w:rPr>
        <w:t>》之盖章页）</w:t>
      </w:r>
    </w:p>
    <w:p w14:paraId="0D87E125" w14:textId="77777777" w:rsidR="000D7A91" w:rsidRDefault="000D7A91">
      <w:pPr>
        <w:widowControl/>
        <w:kinsoku w:val="0"/>
        <w:autoSpaceDE w:val="0"/>
        <w:autoSpaceDN w:val="0"/>
        <w:adjustRightInd w:val="0"/>
        <w:snapToGrid w:val="0"/>
        <w:spacing w:after="160" w:line="240" w:lineRule="auto"/>
        <w:ind w:firstLineChars="0" w:firstLine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</w:p>
    <w:p w14:paraId="30D4FC4B" w14:textId="77777777" w:rsidR="000D7A91" w:rsidRDefault="000D7A91">
      <w:pPr>
        <w:widowControl/>
        <w:kinsoku w:val="0"/>
        <w:autoSpaceDE w:val="0"/>
        <w:autoSpaceDN w:val="0"/>
        <w:adjustRightInd w:val="0"/>
        <w:snapToGrid w:val="0"/>
        <w:spacing w:after="160" w:line="240" w:lineRule="auto"/>
        <w:ind w:firstLineChars="0" w:firstLine="0"/>
        <w:jc w:val="left"/>
        <w:textAlignment w:val="baseline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</w:p>
    <w:p w14:paraId="75DF9765" w14:textId="77777777" w:rsidR="000D7A91" w:rsidRDefault="000D7A91">
      <w:pPr>
        <w:widowControl/>
        <w:kinsoku w:val="0"/>
        <w:autoSpaceDE w:val="0"/>
        <w:autoSpaceDN w:val="0"/>
        <w:adjustRightInd w:val="0"/>
        <w:snapToGrid w:val="0"/>
        <w:spacing w:after="160" w:line="240" w:lineRule="auto"/>
        <w:ind w:firstLineChars="0" w:firstLine="0"/>
        <w:jc w:val="right"/>
        <w:textAlignment w:val="baseline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</w:p>
    <w:p w14:paraId="1DBFE8D7" w14:textId="77777777" w:rsidR="000D7A91" w:rsidRDefault="000D7A91">
      <w:pPr>
        <w:widowControl/>
        <w:kinsoku w:val="0"/>
        <w:autoSpaceDE w:val="0"/>
        <w:autoSpaceDN w:val="0"/>
        <w:adjustRightInd w:val="0"/>
        <w:snapToGrid w:val="0"/>
        <w:spacing w:after="160" w:line="240" w:lineRule="auto"/>
        <w:ind w:firstLineChars="0" w:firstLine="0"/>
        <w:jc w:val="right"/>
        <w:textAlignment w:val="baseline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</w:p>
    <w:p w14:paraId="6654505A" w14:textId="77777777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181" w:after="160" w:line="204" w:lineRule="auto"/>
        <w:ind w:firstLineChars="0" w:firstLine="5703"/>
        <w:jc w:val="right"/>
        <w:textAlignment w:val="baseline"/>
        <w:rPr>
          <w:rFonts w:ascii="宋体" w:hAnsi="宋体" w:cs="宋体"/>
          <w:snapToGrid w:val="0"/>
          <w:color w:val="000000"/>
          <w:kern w:val="0"/>
        </w:rPr>
      </w:pPr>
      <w:r>
        <w:rPr>
          <w:rFonts w:ascii="宋体" w:hAnsi="宋体" w:cs="宋体"/>
          <w:snapToGrid w:val="0"/>
          <w:color w:val="000000"/>
          <w:spacing w:val="-2"/>
          <w:kern w:val="0"/>
        </w:rPr>
        <w:t>厦门万里石股份有限公司</w:t>
      </w:r>
    </w:p>
    <w:p w14:paraId="4B9B7B24" w14:textId="77777777" w:rsidR="000D7A91" w:rsidRDefault="000D7A91">
      <w:pPr>
        <w:widowControl/>
        <w:kinsoku w:val="0"/>
        <w:autoSpaceDE w:val="0"/>
        <w:autoSpaceDN w:val="0"/>
        <w:adjustRightInd w:val="0"/>
        <w:snapToGrid w:val="0"/>
        <w:spacing w:after="160" w:line="240" w:lineRule="auto"/>
        <w:ind w:firstLineChars="0" w:firstLine="0"/>
        <w:jc w:val="right"/>
        <w:textAlignment w:val="baseline"/>
        <w:rPr>
          <w:rFonts w:ascii="Arial" w:hAnsi="Arial" w:cs="Arial"/>
          <w:snapToGrid w:val="0"/>
          <w:color w:val="000000"/>
          <w:kern w:val="0"/>
          <w:sz w:val="21"/>
          <w:szCs w:val="21"/>
        </w:rPr>
      </w:pPr>
    </w:p>
    <w:p w14:paraId="26CFE3E1" w14:textId="68901306" w:rsidR="000D7A91" w:rsidRDefault="00597D33">
      <w:pPr>
        <w:widowControl/>
        <w:kinsoku w:val="0"/>
        <w:autoSpaceDE w:val="0"/>
        <w:autoSpaceDN w:val="0"/>
        <w:adjustRightInd w:val="0"/>
        <w:snapToGrid w:val="0"/>
        <w:spacing w:before="117" w:after="160" w:line="204" w:lineRule="auto"/>
        <w:ind w:firstLineChars="0" w:firstLine="6657"/>
        <w:jc w:val="right"/>
        <w:textAlignment w:val="baseline"/>
        <w:rPr>
          <w:rFonts w:ascii="宋体" w:hAnsi="宋体" w:cs="宋体"/>
          <w:snapToGrid w:val="0"/>
          <w:color w:val="000000"/>
          <w:kern w:val="0"/>
        </w:rPr>
      </w:pPr>
      <w:r>
        <w:rPr>
          <w:rFonts w:ascii="宋体" w:hAnsi="宋体" w:cs="宋体" w:hint="eastAsia"/>
          <w:snapToGrid w:val="0"/>
          <w:color w:val="000000"/>
          <w:spacing w:val="-9"/>
          <w:kern w:val="0"/>
        </w:rPr>
        <w:t>2022</w:t>
      </w:r>
      <w:r>
        <w:rPr>
          <w:rFonts w:ascii="宋体" w:hAnsi="宋体" w:cs="宋体"/>
          <w:snapToGrid w:val="0"/>
          <w:color w:val="000000"/>
          <w:spacing w:val="-9"/>
          <w:kern w:val="0"/>
        </w:rPr>
        <w:t>年</w:t>
      </w:r>
      <w:r>
        <w:rPr>
          <w:rFonts w:ascii="宋体" w:hAnsi="宋体" w:cs="宋体" w:hint="eastAsia"/>
          <w:snapToGrid w:val="0"/>
          <w:color w:val="000000"/>
          <w:spacing w:val="5"/>
          <w:kern w:val="0"/>
        </w:rPr>
        <w:t>9</w:t>
      </w:r>
      <w:r>
        <w:rPr>
          <w:rFonts w:ascii="宋体" w:hAnsi="宋体" w:cs="宋体"/>
          <w:snapToGrid w:val="0"/>
          <w:color w:val="000000"/>
          <w:spacing w:val="-9"/>
          <w:kern w:val="0"/>
        </w:rPr>
        <w:t>月</w:t>
      </w:r>
      <w:r>
        <w:rPr>
          <w:rFonts w:ascii="宋体" w:hAnsi="宋体" w:cs="宋体" w:hint="eastAsia"/>
          <w:snapToGrid w:val="0"/>
          <w:color w:val="000000"/>
          <w:spacing w:val="17"/>
          <w:kern w:val="0"/>
        </w:rPr>
        <w:t>1</w:t>
      </w:r>
      <w:r>
        <w:rPr>
          <w:rFonts w:ascii="宋体" w:hAnsi="宋体" w:cs="宋体"/>
          <w:snapToGrid w:val="0"/>
          <w:color w:val="000000"/>
          <w:spacing w:val="17"/>
          <w:kern w:val="0"/>
        </w:rPr>
        <w:t>5</w:t>
      </w:r>
      <w:r>
        <w:rPr>
          <w:rFonts w:ascii="宋体" w:hAnsi="宋体" w:cs="宋体"/>
          <w:snapToGrid w:val="0"/>
          <w:color w:val="000000"/>
          <w:spacing w:val="-9"/>
          <w:kern w:val="0"/>
        </w:rPr>
        <w:t>日</w:t>
      </w:r>
    </w:p>
    <w:p w14:paraId="1065F360" w14:textId="77777777" w:rsidR="000D7A91" w:rsidRDefault="000D7A91"/>
    <w:sectPr w:rsidR="000D7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47549" w14:textId="77777777" w:rsidR="000D7A91" w:rsidRDefault="00597D33">
      <w:pPr>
        <w:spacing w:line="240" w:lineRule="auto"/>
      </w:pPr>
      <w:r>
        <w:separator/>
      </w:r>
    </w:p>
  </w:endnote>
  <w:endnote w:type="continuationSeparator" w:id="0">
    <w:p w14:paraId="1BDB7ED3" w14:textId="77777777" w:rsidR="000D7A91" w:rsidRDefault="00597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E53AF" w14:textId="77777777" w:rsidR="000D7A91" w:rsidRDefault="000D7A9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824202"/>
      <w:docPartObj>
        <w:docPartGallery w:val="AutoText"/>
      </w:docPartObj>
    </w:sdtPr>
    <w:sdtEndPr/>
    <w:sdtContent>
      <w:p w14:paraId="20F3C0F4" w14:textId="77777777" w:rsidR="000D7A91" w:rsidRDefault="00597D33">
        <w:pPr>
          <w:pStyle w:val="a5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423E0CCF" w14:textId="77777777" w:rsidR="000D7A91" w:rsidRDefault="000D7A9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53FF" w14:textId="77777777" w:rsidR="000D7A91" w:rsidRDefault="000D7A9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B483" w14:textId="77777777" w:rsidR="000D7A91" w:rsidRDefault="00597D33">
      <w:r>
        <w:separator/>
      </w:r>
    </w:p>
  </w:footnote>
  <w:footnote w:type="continuationSeparator" w:id="0">
    <w:p w14:paraId="2AD55D0D" w14:textId="77777777" w:rsidR="000D7A91" w:rsidRDefault="0059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9ACF" w14:textId="77777777" w:rsidR="000D7A91" w:rsidRDefault="000D7A9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0FD2" w14:textId="77777777" w:rsidR="000D7A91" w:rsidRDefault="000D7A91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E9BF" w14:textId="77777777" w:rsidR="000D7A91" w:rsidRDefault="000D7A91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WJlYzgzY2VkZjdmNWUyNDAzMzY3ZTg4ZjZlMTM3Y2IifQ=="/>
  </w:docVars>
  <w:rsids>
    <w:rsidRoot w:val="00596751"/>
    <w:rsid w:val="000B2BB7"/>
    <w:rsid w:val="000D7A91"/>
    <w:rsid w:val="001A2B37"/>
    <w:rsid w:val="002373E9"/>
    <w:rsid w:val="00394E37"/>
    <w:rsid w:val="00405CC5"/>
    <w:rsid w:val="00425FF0"/>
    <w:rsid w:val="0055717F"/>
    <w:rsid w:val="00596751"/>
    <w:rsid w:val="00597D33"/>
    <w:rsid w:val="0062766A"/>
    <w:rsid w:val="006F132C"/>
    <w:rsid w:val="006F3C7C"/>
    <w:rsid w:val="0087588F"/>
    <w:rsid w:val="00966687"/>
    <w:rsid w:val="009C7A5E"/>
    <w:rsid w:val="00A42FDF"/>
    <w:rsid w:val="00B305D0"/>
    <w:rsid w:val="00BD2FAD"/>
    <w:rsid w:val="00BD7DE2"/>
    <w:rsid w:val="00C96FBA"/>
    <w:rsid w:val="00CC7AD9"/>
    <w:rsid w:val="00CD2639"/>
    <w:rsid w:val="00D51899"/>
    <w:rsid w:val="00DD2178"/>
    <w:rsid w:val="00E4008E"/>
    <w:rsid w:val="00E54B35"/>
    <w:rsid w:val="00F017EC"/>
    <w:rsid w:val="00F15A98"/>
    <w:rsid w:val="102807E2"/>
    <w:rsid w:val="5F7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0DABB7"/>
  <w15:docId w15:val="{230B8660-7FE3-447D-AAD2-7B8DF62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80"/>
      <w:jc w:val="both"/>
    </w:pPr>
    <w:rPr>
      <w:rFonts w:ascii="Calibri" w:eastAsia="宋体" w:hAnsi="Calibri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widowControl/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line="240" w:lineRule="auto"/>
      <w:ind w:firstLineChars="0" w:firstLine="0"/>
      <w:jc w:val="left"/>
      <w:outlineLvl w:val="1"/>
    </w:pPr>
    <w:rPr>
      <w:rFonts w:asciiTheme="minorHAnsi" w:eastAsia="楷体" w:hAnsiTheme="minorHAnsi" w:cstheme="minorBidi"/>
      <w:caps/>
      <w:spacing w:val="1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character" w:customStyle="1" w:styleId="20">
    <w:name w:val="标题 2 字符"/>
    <w:basedOn w:val="a0"/>
    <w:link w:val="2"/>
    <w:uiPriority w:val="9"/>
    <w:qFormat/>
    <w:rPr>
      <w:rFonts w:eastAsia="楷体"/>
      <w:caps/>
      <w:spacing w:val="15"/>
      <w:sz w:val="24"/>
      <w:szCs w:val="20"/>
      <w:shd w:val="clear" w:color="auto" w:fill="D9E2F3" w:themeFill="accent1" w:themeFillTint="33"/>
    </w:rPr>
  </w:style>
  <w:style w:type="paragraph" w:customStyle="1" w:styleId="aa">
    <w:name w:val="一级标题"/>
    <w:basedOn w:val="a"/>
    <w:link w:val="Char"/>
    <w:qFormat/>
    <w:pPr>
      <w:ind w:firstLineChars="0" w:firstLine="0"/>
      <w:outlineLvl w:val="1"/>
    </w:pPr>
    <w:rPr>
      <w:rFonts w:ascii="宋体" w:hAnsi="宋体"/>
      <w:b/>
      <w:sz w:val="28"/>
      <w:szCs w:val="28"/>
      <w:lang w:val="zh-CN"/>
    </w:rPr>
  </w:style>
  <w:style w:type="character" w:customStyle="1" w:styleId="Char">
    <w:name w:val="一级标题 Char"/>
    <w:link w:val="aa"/>
    <w:qFormat/>
    <w:rPr>
      <w:rFonts w:ascii="宋体" w:eastAsia="宋体" w:hAnsi="宋体" w:cs="Times New Roman"/>
      <w:b/>
      <w:kern w:val="2"/>
      <w:sz w:val="28"/>
      <w:szCs w:val="28"/>
      <w:lang w:val="zh-CN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20"/>
      <w:szCs w:val="20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Calvin</dc:creator>
  <cp:lastModifiedBy>邓 金银</cp:lastModifiedBy>
  <cp:revision>18</cp:revision>
  <dcterms:created xsi:type="dcterms:W3CDTF">2021-08-10T02:01:00Z</dcterms:created>
  <dcterms:modified xsi:type="dcterms:W3CDTF">2022-09-14T08:19:00Z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1C22CB0266A343709C961AF6969FA8FF</vt:lpwstr>
  </property>
</Properties>
</file>