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17A" w14:textId="537AAE9A" w:rsidR="00E82A21" w:rsidRDefault="006277F4">
      <w:pPr>
        <w:autoSpaceDE w:val="0"/>
        <w:autoSpaceDN w:val="0"/>
        <w:adjustRightInd w:val="0"/>
        <w:spacing w:line="360" w:lineRule="auto"/>
        <w:rPr>
          <w:color w:val="000000"/>
          <w:sz w:val="24"/>
        </w:rPr>
      </w:pPr>
      <w:r>
        <w:rPr>
          <w:rFonts w:ascii="宋体" w:hAnsi="宋体" w:hint="eastAsia"/>
          <w:color w:val="000000"/>
          <w:sz w:val="24"/>
        </w:rPr>
        <w:t>证券代码</w:t>
      </w:r>
      <w:r>
        <w:rPr>
          <w:rFonts w:ascii="Times New Roman" w:hAnsi="Times New Roman"/>
          <w:color w:val="000000"/>
          <w:sz w:val="24"/>
        </w:rPr>
        <w:t>：</w:t>
      </w:r>
      <w:r>
        <w:rPr>
          <w:rFonts w:ascii="Times New Roman" w:hAnsi="Times New Roman"/>
          <w:color w:val="000000"/>
          <w:sz w:val="24"/>
        </w:rPr>
        <w:t xml:space="preserve">002785         </w:t>
      </w:r>
      <w:r>
        <w:rPr>
          <w:rFonts w:ascii="Times New Roman" w:hAnsi="Times New Roman"/>
          <w:color w:val="000000"/>
          <w:sz w:val="24"/>
        </w:rPr>
        <w:t>证券简称：</w:t>
      </w:r>
      <w:r>
        <w:rPr>
          <w:rFonts w:ascii="Times New Roman" w:hAnsi="Times New Roman" w:hint="eastAsia"/>
          <w:color w:val="000000"/>
          <w:sz w:val="24"/>
        </w:rPr>
        <w:t>万里石</w:t>
      </w:r>
      <w:r>
        <w:rPr>
          <w:rFonts w:ascii="Times New Roman" w:hAnsi="Times New Roman"/>
          <w:color w:val="000000"/>
          <w:sz w:val="24"/>
        </w:rPr>
        <w:t xml:space="preserve">        </w:t>
      </w:r>
      <w:r>
        <w:rPr>
          <w:rFonts w:ascii="Times New Roman" w:hAnsi="Times New Roman"/>
          <w:color w:val="000000"/>
          <w:sz w:val="24"/>
        </w:rPr>
        <w:t>公告编号</w:t>
      </w:r>
      <w:r>
        <w:rPr>
          <w:rFonts w:ascii="Times New Roman" w:eastAsia="仿宋_GB2312" w:hAnsi="Times New Roman"/>
          <w:color w:val="000000"/>
          <w:sz w:val="24"/>
        </w:rPr>
        <w:t>：</w:t>
      </w:r>
      <w:r>
        <w:rPr>
          <w:rFonts w:ascii="Times New Roman" w:hAnsi="Times New Roman"/>
          <w:color w:val="000000"/>
          <w:sz w:val="24"/>
        </w:rPr>
        <w:t>2022-</w:t>
      </w:r>
      <w:r>
        <w:rPr>
          <w:rFonts w:ascii="Times New Roman" w:hAnsi="Times New Roman" w:hint="eastAsia"/>
          <w:color w:val="000000"/>
          <w:sz w:val="24"/>
        </w:rPr>
        <w:t>0</w:t>
      </w:r>
      <w:r w:rsidR="002A3F89">
        <w:rPr>
          <w:rFonts w:ascii="Times New Roman" w:hAnsi="Times New Roman"/>
          <w:color w:val="000000"/>
          <w:sz w:val="24"/>
        </w:rPr>
        <w:t>80</w:t>
      </w:r>
    </w:p>
    <w:p w14:paraId="4C493C04" w14:textId="77777777" w:rsidR="00E82A21" w:rsidRDefault="006277F4">
      <w:pPr>
        <w:spacing w:beforeLines="50" w:before="156" w:line="360" w:lineRule="auto"/>
        <w:jc w:val="center"/>
        <w:rPr>
          <w:kern w:val="0"/>
          <w:sz w:val="36"/>
          <w:szCs w:val="36"/>
        </w:rPr>
      </w:pPr>
      <w:r>
        <w:rPr>
          <w:rFonts w:hint="eastAsia"/>
          <w:kern w:val="0"/>
          <w:sz w:val="36"/>
          <w:szCs w:val="36"/>
        </w:rPr>
        <w:t>厦门万里石股份有限公司</w:t>
      </w:r>
    </w:p>
    <w:p w14:paraId="30905639" w14:textId="6799A198" w:rsidR="00E82A21" w:rsidRDefault="006277F4">
      <w:pPr>
        <w:autoSpaceDE w:val="0"/>
        <w:autoSpaceDN w:val="0"/>
        <w:adjustRightInd w:val="0"/>
        <w:spacing w:afterLines="50" w:after="156" w:line="360" w:lineRule="auto"/>
        <w:jc w:val="center"/>
        <w:rPr>
          <w:kern w:val="0"/>
          <w:sz w:val="36"/>
          <w:szCs w:val="36"/>
        </w:rPr>
      </w:pPr>
      <w:r>
        <w:rPr>
          <w:rFonts w:hint="eastAsia"/>
          <w:kern w:val="0"/>
          <w:sz w:val="36"/>
          <w:szCs w:val="36"/>
        </w:rPr>
        <w:t>关于公司与特定对象签署《附条件生效的股票认购协议之补充协议</w:t>
      </w:r>
      <w:r w:rsidR="002A3F89">
        <w:rPr>
          <w:rFonts w:hint="eastAsia"/>
          <w:kern w:val="0"/>
          <w:sz w:val="36"/>
          <w:szCs w:val="36"/>
        </w:rPr>
        <w:t>（二）</w:t>
      </w:r>
      <w:r>
        <w:rPr>
          <w:rFonts w:hint="eastAsia"/>
          <w:kern w:val="0"/>
          <w:sz w:val="36"/>
          <w:szCs w:val="36"/>
        </w:rPr>
        <w:t>》暨关联交易的公告</w:t>
      </w:r>
    </w:p>
    <w:p w14:paraId="2C488A59" w14:textId="77777777" w:rsidR="00E82A21" w:rsidRDefault="006277F4">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sz w:val="24"/>
        </w:rPr>
      </w:pPr>
      <w:r>
        <w:rPr>
          <w:rFonts w:hint="eastAsia"/>
          <w:kern w:val="0"/>
          <w:sz w:val="24"/>
        </w:rPr>
        <w:t>本公司及董事会全体成员保证信息披露的内容真实、准确和完整，没有虚假记载、误导性陈述或者重大遗漏。</w:t>
      </w:r>
    </w:p>
    <w:p w14:paraId="75F0304D" w14:textId="77777777" w:rsidR="00E82A21" w:rsidRDefault="006277F4">
      <w:pPr>
        <w:spacing w:line="360" w:lineRule="auto"/>
        <w:ind w:firstLineChars="200" w:firstLine="482"/>
        <w:rPr>
          <w:rFonts w:ascii="Times New Roman" w:hAnsi="Times New Roman"/>
          <w:b/>
          <w:sz w:val="24"/>
          <w:szCs w:val="24"/>
        </w:rPr>
      </w:pPr>
      <w:r>
        <w:rPr>
          <w:rFonts w:ascii="Times New Roman" w:hAnsi="Times New Roman"/>
          <w:b/>
          <w:sz w:val="24"/>
          <w:szCs w:val="24"/>
        </w:rPr>
        <w:t>重要提示：</w:t>
      </w:r>
    </w:p>
    <w:p w14:paraId="1A79EE1D" w14:textId="744C929A" w:rsidR="00E82A21" w:rsidRDefault="006277F4">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2021年9月29日、2022年4月25日，</w:t>
      </w:r>
      <w:r w:rsidR="002A3F89">
        <w:rPr>
          <w:rFonts w:ascii="宋体" w:hAnsi="宋体" w:hint="eastAsia"/>
          <w:sz w:val="24"/>
          <w:szCs w:val="24"/>
        </w:rPr>
        <w:t>2</w:t>
      </w:r>
      <w:r w:rsidR="002A3F89">
        <w:rPr>
          <w:rFonts w:ascii="宋体" w:hAnsi="宋体"/>
          <w:sz w:val="24"/>
          <w:szCs w:val="24"/>
        </w:rPr>
        <w:t>022</w:t>
      </w:r>
      <w:r w:rsidR="002A3F89">
        <w:rPr>
          <w:rFonts w:ascii="宋体" w:hAnsi="宋体" w:hint="eastAsia"/>
          <w:sz w:val="24"/>
          <w:szCs w:val="24"/>
        </w:rPr>
        <w:t>年9月1</w:t>
      </w:r>
      <w:r w:rsidR="002A3F89">
        <w:rPr>
          <w:rFonts w:ascii="宋体" w:hAnsi="宋体"/>
          <w:sz w:val="24"/>
          <w:szCs w:val="24"/>
        </w:rPr>
        <w:t>3</w:t>
      </w:r>
      <w:r w:rsidR="002A3F89">
        <w:rPr>
          <w:rFonts w:ascii="宋体" w:hAnsi="宋体" w:hint="eastAsia"/>
          <w:sz w:val="24"/>
          <w:szCs w:val="24"/>
        </w:rPr>
        <w:t>日</w:t>
      </w:r>
      <w:r>
        <w:rPr>
          <w:rFonts w:ascii="宋体" w:hAnsi="宋体"/>
          <w:sz w:val="24"/>
          <w:szCs w:val="24"/>
        </w:rPr>
        <w:t>厦门万里石股份有限公司（以下简称“公司”或“发行人”）</w:t>
      </w:r>
      <w:r>
        <w:rPr>
          <w:rFonts w:ascii="宋体" w:hAnsi="宋体" w:hint="eastAsia"/>
          <w:sz w:val="24"/>
          <w:szCs w:val="24"/>
        </w:rPr>
        <w:t>分别</w:t>
      </w:r>
      <w:r>
        <w:rPr>
          <w:rFonts w:ascii="Times New Roman" w:hAnsi="Times New Roman" w:hint="eastAsia"/>
          <w:kern w:val="0"/>
          <w:sz w:val="24"/>
          <w:szCs w:val="24"/>
        </w:rPr>
        <w:t>与厦门哈富矿业有限公司</w:t>
      </w:r>
      <w:r>
        <w:rPr>
          <w:rFonts w:ascii="宋体" w:hAnsi="宋体"/>
          <w:sz w:val="24"/>
          <w:szCs w:val="24"/>
        </w:rPr>
        <w:t>（以下简称“</w:t>
      </w:r>
      <w:r>
        <w:rPr>
          <w:rFonts w:ascii="宋体" w:hAnsi="宋体" w:hint="eastAsia"/>
          <w:sz w:val="24"/>
          <w:szCs w:val="24"/>
        </w:rPr>
        <w:t>哈富矿业</w:t>
      </w:r>
      <w:r>
        <w:rPr>
          <w:rFonts w:ascii="宋体" w:hAnsi="宋体"/>
          <w:sz w:val="24"/>
          <w:szCs w:val="24"/>
        </w:rPr>
        <w:t>”）</w:t>
      </w:r>
      <w:r>
        <w:rPr>
          <w:rFonts w:ascii="宋体" w:hAnsi="宋体" w:hint="eastAsia"/>
          <w:sz w:val="24"/>
          <w:szCs w:val="24"/>
        </w:rPr>
        <w:t>签署了《关于厦门万里石股份有限公司非公开发行股票之附条件生效的股票认购协议》(以下</w:t>
      </w:r>
      <w:r>
        <w:rPr>
          <w:rFonts w:ascii="宋体" w:hAnsi="宋体"/>
          <w:sz w:val="24"/>
          <w:szCs w:val="24"/>
        </w:rPr>
        <w:t>简称“《股票认购协议》”</w:t>
      </w:r>
      <w:r>
        <w:rPr>
          <w:rFonts w:ascii="宋体" w:hAnsi="宋体" w:hint="eastAsia"/>
          <w:sz w:val="24"/>
          <w:szCs w:val="24"/>
        </w:rPr>
        <w:t>)、</w:t>
      </w:r>
      <w:r>
        <w:rPr>
          <w:rFonts w:ascii="宋体" w:hAnsi="宋体"/>
          <w:sz w:val="24"/>
          <w:szCs w:val="24"/>
        </w:rPr>
        <w:t>《关于</w:t>
      </w:r>
      <w:r>
        <w:rPr>
          <w:rFonts w:ascii="宋体" w:hAnsi="宋体" w:hint="eastAsia"/>
          <w:sz w:val="24"/>
          <w:szCs w:val="24"/>
        </w:rPr>
        <w:t>厦门万里石股份有限公司</w:t>
      </w:r>
      <w:r>
        <w:rPr>
          <w:rFonts w:ascii="宋体" w:hAnsi="宋体"/>
          <w:sz w:val="24"/>
          <w:szCs w:val="24"/>
        </w:rPr>
        <w:t>非公开发行股票之附条件生效的股票认购协议</w:t>
      </w:r>
      <w:r>
        <w:rPr>
          <w:rFonts w:ascii="宋体" w:hAnsi="宋体" w:hint="eastAsia"/>
          <w:sz w:val="24"/>
          <w:szCs w:val="24"/>
        </w:rPr>
        <w:t>之</w:t>
      </w:r>
      <w:r>
        <w:rPr>
          <w:rFonts w:ascii="宋体" w:hAnsi="宋体"/>
          <w:sz w:val="24"/>
          <w:szCs w:val="24"/>
        </w:rPr>
        <w:t>补充协议》</w:t>
      </w:r>
      <w:r w:rsidR="002A628D" w:rsidRPr="002A628D">
        <w:rPr>
          <w:rFonts w:ascii="宋体" w:hAnsi="宋体" w:hint="eastAsia"/>
          <w:sz w:val="24"/>
          <w:szCs w:val="24"/>
        </w:rPr>
        <w:t>(以下简称“《补充协议》”)</w:t>
      </w:r>
      <w:r w:rsidR="002A3F89">
        <w:rPr>
          <w:rFonts w:ascii="宋体" w:hAnsi="宋体" w:hint="eastAsia"/>
          <w:sz w:val="24"/>
          <w:szCs w:val="24"/>
        </w:rPr>
        <w:t>、</w:t>
      </w:r>
      <w:r w:rsidR="002A3F89" w:rsidRPr="002A3F89">
        <w:rPr>
          <w:rFonts w:ascii="宋体" w:hAnsi="宋体" w:hint="eastAsia"/>
          <w:sz w:val="24"/>
          <w:szCs w:val="24"/>
        </w:rPr>
        <w:t>《关于厦门万里石股份有限公司非公开发行股票之附条件生效的股票认购协议之补充协议</w:t>
      </w:r>
      <w:r w:rsidR="002A3F89">
        <w:rPr>
          <w:rFonts w:ascii="宋体" w:hAnsi="宋体" w:hint="eastAsia"/>
          <w:sz w:val="24"/>
          <w:szCs w:val="24"/>
        </w:rPr>
        <w:t>（二）</w:t>
      </w:r>
      <w:r w:rsidR="002A3F89" w:rsidRPr="002A3F89">
        <w:rPr>
          <w:rFonts w:ascii="宋体" w:hAnsi="宋体" w:hint="eastAsia"/>
          <w:sz w:val="24"/>
          <w:szCs w:val="24"/>
        </w:rPr>
        <w:t>》</w:t>
      </w:r>
      <w:r>
        <w:rPr>
          <w:rFonts w:ascii="宋体" w:hAnsi="宋体" w:hint="eastAsia"/>
          <w:sz w:val="24"/>
          <w:szCs w:val="24"/>
        </w:rPr>
        <w:t>（以下</w:t>
      </w:r>
      <w:r>
        <w:rPr>
          <w:rFonts w:ascii="宋体" w:hAnsi="宋体"/>
          <w:sz w:val="24"/>
          <w:szCs w:val="24"/>
        </w:rPr>
        <w:t>简称“《</w:t>
      </w:r>
      <w:r>
        <w:rPr>
          <w:rFonts w:ascii="宋体" w:hAnsi="宋体" w:hint="eastAsia"/>
          <w:sz w:val="24"/>
          <w:szCs w:val="24"/>
        </w:rPr>
        <w:t>补充</w:t>
      </w:r>
      <w:r>
        <w:rPr>
          <w:rFonts w:ascii="宋体" w:hAnsi="宋体"/>
          <w:sz w:val="24"/>
          <w:szCs w:val="24"/>
        </w:rPr>
        <w:t>协议</w:t>
      </w:r>
      <w:r w:rsidR="002A3F89">
        <w:rPr>
          <w:rFonts w:ascii="宋体" w:hAnsi="宋体" w:hint="eastAsia"/>
          <w:sz w:val="24"/>
          <w:szCs w:val="24"/>
        </w:rPr>
        <w:t>（二）</w:t>
      </w:r>
      <w:r>
        <w:rPr>
          <w:rFonts w:ascii="宋体" w:hAnsi="宋体"/>
          <w:sz w:val="24"/>
          <w:szCs w:val="24"/>
        </w:rPr>
        <w:t>》”</w:t>
      </w:r>
      <w:r>
        <w:rPr>
          <w:rFonts w:ascii="宋体" w:hAnsi="宋体" w:hint="eastAsia"/>
          <w:sz w:val="24"/>
          <w:szCs w:val="24"/>
        </w:rPr>
        <w:t>)。</w:t>
      </w:r>
    </w:p>
    <w:p w14:paraId="52B096FD" w14:textId="1210D6BE" w:rsidR="00E82A21" w:rsidRDefault="006277F4">
      <w:pPr>
        <w:spacing w:line="360" w:lineRule="auto"/>
        <w:ind w:firstLineChars="200" w:firstLine="480"/>
        <w:rPr>
          <w:rFonts w:ascii="宋体" w:hAnsi="宋体"/>
          <w:sz w:val="24"/>
          <w:szCs w:val="24"/>
        </w:rPr>
      </w:pPr>
      <w:r w:rsidRPr="003343B4">
        <w:rPr>
          <w:rFonts w:ascii="宋体" w:hAnsi="宋体"/>
          <w:sz w:val="24"/>
          <w:szCs w:val="24"/>
        </w:rPr>
        <w:t>公司本次非公开发行股票方案尚需中国证监会核准。本次发行的方案能否获得相关的批准或核准以及获得相关批准或核准的时间存在不确定性。</w:t>
      </w:r>
    </w:p>
    <w:p w14:paraId="3EA7A99E" w14:textId="77777777" w:rsidR="00E82A21" w:rsidRDefault="006277F4">
      <w:pPr>
        <w:spacing w:line="360" w:lineRule="auto"/>
        <w:ind w:firstLineChars="200" w:firstLine="480"/>
        <w:rPr>
          <w:rFonts w:ascii="宋体" w:hAnsi="宋体"/>
          <w:sz w:val="24"/>
          <w:szCs w:val="24"/>
        </w:rPr>
      </w:pPr>
      <w:r>
        <w:rPr>
          <w:rFonts w:ascii="宋体" w:hAnsi="宋体"/>
          <w:sz w:val="24"/>
          <w:szCs w:val="24"/>
        </w:rPr>
        <w:t>根据《中华人民共和国公司法》、《中华人民共和国证券法》、《深圳证券交易所股票上市规则（2022</w:t>
      </w:r>
      <w:r>
        <w:rPr>
          <w:rFonts w:ascii="宋体" w:hAnsi="宋体" w:hint="eastAsia"/>
          <w:sz w:val="24"/>
          <w:szCs w:val="24"/>
        </w:rPr>
        <w:t>年</w:t>
      </w:r>
      <w:r>
        <w:rPr>
          <w:rFonts w:ascii="宋体" w:hAnsi="宋体"/>
          <w:sz w:val="24"/>
          <w:szCs w:val="24"/>
        </w:rPr>
        <w:t>修订）》等有关法律法规及规范性文件的规定，公司本次非公开发行股票的发行对象为</w:t>
      </w:r>
      <w:r>
        <w:rPr>
          <w:rFonts w:ascii="宋体" w:hAnsi="宋体" w:hint="eastAsia"/>
          <w:sz w:val="24"/>
          <w:szCs w:val="24"/>
        </w:rPr>
        <w:t>厦门哈富矿业有限公司</w:t>
      </w:r>
      <w:r>
        <w:rPr>
          <w:rFonts w:ascii="宋体" w:hAnsi="宋体"/>
          <w:sz w:val="24"/>
          <w:szCs w:val="24"/>
        </w:rPr>
        <w:t>，本次非公开发行涉及关联交易事项。具体情况如下：</w:t>
      </w:r>
    </w:p>
    <w:p w14:paraId="4122D66F" w14:textId="77777777" w:rsidR="00E82A21" w:rsidRDefault="006277F4">
      <w:pPr>
        <w:spacing w:line="360" w:lineRule="auto"/>
        <w:ind w:firstLineChars="200" w:firstLine="482"/>
        <w:outlineLvl w:val="0"/>
        <w:rPr>
          <w:rFonts w:ascii="宋体" w:hAnsi="宋体"/>
          <w:b/>
          <w:bCs/>
          <w:sz w:val="24"/>
          <w:szCs w:val="24"/>
        </w:rPr>
      </w:pPr>
      <w:r>
        <w:rPr>
          <w:rFonts w:ascii="宋体" w:hAnsi="宋体"/>
          <w:b/>
          <w:bCs/>
          <w:sz w:val="24"/>
          <w:szCs w:val="24"/>
        </w:rPr>
        <w:t>一、关联交易基本情况</w:t>
      </w:r>
    </w:p>
    <w:p w14:paraId="70893777" w14:textId="5B4881DB" w:rsidR="00E82A21" w:rsidRDefault="006277F4">
      <w:pPr>
        <w:spacing w:line="360" w:lineRule="auto"/>
        <w:ind w:firstLineChars="200" w:firstLine="480"/>
        <w:rPr>
          <w:rFonts w:ascii="宋体" w:hAnsi="宋体"/>
          <w:sz w:val="24"/>
          <w:szCs w:val="24"/>
        </w:rPr>
      </w:pPr>
      <w:proofErr w:type="gramStart"/>
      <w:r>
        <w:rPr>
          <w:rFonts w:ascii="宋体" w:hAnsi="宋体" w:hint="eastAsia"/>
          <w:sz w:val="24"/>
          <w:szCs w:val="24"/>
        </w:rPr>
        <w:t>公司拟非公开</w:t>
      </w:r>
      <w:proofErr w:type="gramEnd"/>
      <w:r>
        <w:rPr>
          <w:rFonts w:ascii="宋体" w:hAnsi="宋体" w:hint="eastAsia"/>
          <w:sz w:val="24"/>
          <w:szCs w:val="24"/>
        </w:rPr>
        <w:t>发行A股股票，本次发行股票数量合计不超过</w:t>
      </w:r>
      <w:r w:rsidR="00ED2985" w:rsidRPr="00ED2985">
        <w:rPr>
          <w:rFonts w:ascii="宋体" w:hAnsi="宋体"/>
          <w:sz w:val="24"/>
          <w:szCs w:val="24"/>
        </w:rPr>
        <w:t>25,814,695</w:t>
      </w:r>
      <w:r>
        <w:rPr>
          <w:rFonts w:ascii="宋体" w:hAnsi="宋体" w:hint="eastAsia"/>
          <w:sz w:val="24"/>
          <w:szCs w:val="24"/>
        </w:rPr>
        <w:t>股（含），不超过本次发行前公司总股本的30%，募集资金总额不超过人民币</w:t>
      </w:r>
      <w:r w:rsidR="00ED2985" w:rsidRPr="00ED2985">
        <w:rPr>
          <w:rFonts w:ascii="宋体" w:hAnsi="宋体" w:hint="eastAsia"/>
          <w:sz w:val="24"/>
          <w:szCs w:val="24"/>
        </w:rPr>
        <w:t>403,999,977元</w:t>
      </w:r>
      <w:r>
        <w:rPr>
          <w:rFonts w:ascii="宋体" w:hAnsi="宋体" w:hint="eastAsia"/>
          <w:sz w:val="24"/>
          <w:szCs w:val="24"/>
        </w:rPr>
        <w:t>（含），最终以中国证监会核准的发行数量为准。</w:t>
      </w:r>
      <w:r>
        <w:rPr>
          <w:rFonts w:ascii="宋体" w:hAnsi="宋体"/>
          <w:sz w:val="24"/>
          <w:szCs w:val="24"/>
        </w:rPr>
        <w:t>哈富矿业拟认购本次发行的全部A股股票，并与公司签署了《股票认购协议》</w:t>
      </w:r>
      <w:r>
        <w:rPr>
          <w:rFonts w:ascii="宋体" w:hAnsi="宋体" w:hint="eastAsia"/>
          <w:sz w:val="24"/>
          <w:szCs w:val="24"/>
        </w:rPr>
        <w:t>、</w:t>
      </w:r>
      <w:r>
        <w:rPr>
          <w:rFonts w:ascii="宋体" w:hAnsi="宋体"/>
          <w:sz w:val="24"/>
          <w:szCs w:val="24"/>
        </w:rPr>
        <w:t>《</w:t>
      </w:r>
      <w:r>
        <w:rPr>
          <w:rFonts w:ascii="宋体" w:hAnsi="宋体" w:hint="eastAsia"/>
          <w:sz w:val="24"/>
          <w:szCs w:val="24"/>
        </w:rPr>
        <w:t>补充</w:t>
      </w:r>
      <w:r>
        <w:rPr>
          <w:rFonts w:ascii="宋体" w:hAnsi="宋体"/>
          <w:sz w:val="24"/>
          <w:szCs w:val="24"/>
        </w:rPr>
        <w:t>协议》</w:t>
      </w:r>
      <w:r w:rsidR="002A3F89">
        <w:rPr>
          <w:rFonts w:ascii="宋体" w:hAnsi="宋体" w:hint="eastAsia"/>
          <w:sz w:val="24"/>
          <w:szCs w:val="24"/>
        </w:rPr>
        <w:t>及《补充协议（二）》</w:t>
      </w:r>
      <w:r>
        <w:rPr>
          <w:rFonts w:ascii="宋体" w:hAnsi="宋体"/>
          <w:sz w:val="24"/>
          <w:szCs w:val="24"/>
        </w:rPr>
        <w:t>。</w:t>
      </w:r>
    </w:p>
    <w:p w14:paraId="5B21B396" w14:textId="6CD8466E" w:rsidR="00E82A21" w:rsidRDefault="006277F4">
      <w:pPr>
        <w:spacing w:line="360" w:lineRule="auto"/>
        <w:ind w:firstLineChars="200" w:firstLine="480"/>
        <w:rPr>
          <w:rFonts w:ascii="宋体" w:hAnsi="宋体"/>
          <w:sz w:val="24"/>
          <w:szCs w:val="24"/>
        </w:rPr>
      </w:pPr>
      <w:r>
        <w:rPr>
          <w:rFonts w:ascii="宋体" w:hAnsi="宋体"/>
          <w:sz w:val="24"/>
          <w:szCs w:val="24"/>
        </w:rPr>
        <w:t>根据《深圳证券交易所股票上市规则（2022</w:t>
      </w:r>
      <w:r>
        <w:rPr>
          <w:rFonts w:ascii="宋体" w:hAnsi="宋体" w:hint="eastAsia"/>
          <w:sz w:val="24"/>
          <w:szCs w:val="24"/>
        </w:rPr>
        <w:t>年</w:t>
      </w:r>
      <w:r>
        <w:rPr>
          <w:rFonts w:ascii="宋体" w:hAnsi="宋体"/>
          <w:sz w:val="24"/>
          <w:szCs w:val="24"/>
        </w:rPr>
        <w:t>修订》、《</w:t>
      </w:r>
      <w:r>
        <w:rPr>
          <w:rFonts w:ascii="宋体" w:hAnsi="宋体" w:hint="eastAsia"/>
          <w:sz w:val="24"/>
          <w:szCs w:val="24"/>
        </w:rPr>
        <w:t>深圳证券交易所上市公司自律监管指引第1号——主板上市公司规范运作</w:t>
      </w:r>
      <w:r>
        <w:rPr>
          <w:rFonts w:ascii="宋体" w:hAnsi="宋体"/>
          <w:sz w:val="24"/>
          <w:szCs w:val="24"/>
        </w:rPr>
        <w:t>》及《公司章程》的有关</w:t>
      </w:r>
      <w:r>
        <w:rPr>
          <w:rFonts w:ascii="宋体" w:hAnsi="宋体"/>
          <w:sz w:val="24"/>
          <w:szCs w:val="24"/>
        </w:rPr>
        <w:lastRenderedPageBreak/>
        <w:t>规定，哈富矿业认购本次发行的股票构成关联交易，关联董事进行了回避表决，独立董事对本次关联交易发表了事前认可和独立意见。</w:t>
      </w:r>
    </w:p>
    <w:p w14:paraId="36F355F0" w14:textId="038F41F9" w:rsidR="00E82A21" w:rsidRDefault="006277F4">
      <w:pPr>
        <w:spacing w:line="360" w:lineRule="auto"/>
        <w:ind w:firstLineChars="200" w:firstLine="480"/>
        <w:rPr>
          <w:rFonts w:ascii="宋体" w:hAnsi="宋体"/>
          <w:sz w:val="24"/>
          <w:szCs w:val="24"/>
        </w:rPr>
      </w:pPr>
      <w:r>
        <w:rPr>
          <w:rFonts w:ascii="宋体" w:hAnsi="宋体"/>
          <w:sz w:val="24"/>
          <w:szCs w:val="24"/>
        </w:rPr>
        <w:t>本次关联交易不构成《上市公司重大资产重组管理办法》规定的重大资产重组行为,本次关联交易事项尚需获得中国证监会的核准。</w:t>
      </w:r>
    </w:p>
    <w:p w14:paraId="3034A6DD" w14:textId="77777777" w:rsidR="00E82A21" w:rsidRDefault="006277F4">
      <w:pPr>
        <w:spacing w:line="360" w:lineRule="auto"/>
        <w:ind w:firstLineChars="200" w:firstLine="482"/>
        <w:outlineLvl w:val="0"/>
        <w:rPr>
          <w:rFonts w:ascii="宋体" w:hAnsi="宋体"/>
          <w:b/>
          <w:bCs/>
          <w:sz w:val="24"/>
          <w:szCs w:val="24"/>
        </w:rPr>
      </w:pPr>
      <w:r>
        <w:rPr>
          <w:rFonts w:ascii="宋体" w:hAnsi="宋体"/>
          <w:b/>
          <w:bCs/>
          <w:sz w:val="24"/>
          <w:szCs w:val="24"/>
        </w:rPr>
        <w:t>二、关联方基本情况</w:t>
      </w:r>
    </w:p>
    <w:p w14:paraId="6EF23B7B" w14:textId="77777777" w:rsidR="00E82A21" w:rsidRDefault="006277F4">
      <w:pPr>
        <w:spacing w:line="360" w:lineRule="auto"/>
        <w:ind w:firstLineChars="200" w:firstLine="482"/>
        <w:outlineLvl w:val="1"/>
        <w:rPr>
          <w:rFonts w:ascii="宋体" w:hAnsi="宋体"/>
          <w:b/>
          <w:bCs/>
          <w:sz w:val="24"/>
          <w:szCs w:val="24"/>
        </w:rPr>
      </w:pPr>
      <w:r>
        <w:rPr>
          <w:rFonts w:ascii="宋体" w:hAnsi="宋体"/>
          <w:b/>
          <w:bCs/>
          <w:sz w:val="24"/>
          <w:szCs w:val="24"/>
        </w:rPr>
        <w:t>（一）基本情况</w:t>
      </w:r>
    </w:p>
    <w:p w14:paraId="5DE0DDA9"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公司名称：</w:t>
      </w:r>
      <w:r>
        <w:rPr>
          <w:rFonts w:ascii="Times New Roman" w:hAnsi="Times New Roman" w:hint="eastAsia"/>
          <w:kern w:val="0"/>
          <w:sz w:val="24"/>
          <w:szCs w:val="24"/>
        </w:rPr>
        <w:t>厦门哈富矿业有限公司</w:t>
      </w:r>
    </w:p>
    <w:p w14:paraId="16A47F87"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注册地址：</w:t>
      </w:r>
      <w:r>
        <w:rPr>
          <w:rFonts w:ascii="Times New Roman" w:hAnsi="Times New Roman" w:hint="eastAsia"/>
          <w:kern w:val="0"/>
          <w:sz w:val="24"/>
          <w:szCs w:val="24"/>
        </w:rPr>
        <w:t>中国（福建）自由贸易试验区厦门片</w:t>
      </w:r>
      <w:proofErr w:type="gramStart"/>
      <w:r>
        <w:rPr>
          <w:rFonts w:ascii="Times New Roman" w:hAnsi="Times New Roman" w:hint="eastAsia"/>
          <w:kern w:val="0"/>
          <w:sz w:val="24"/>
          <w:szCs w:val="24"/>
        </w:rPr>
        <w:t>区象屿路</w:t>
      </w:r>
      <w:r>
        <w:rPr>
          <w:rFonts w:ascii="Times New Roman" w:hAnsi="Times New Roman" w:hint="eastAsia"/>
          <w:kern w:val="0"/>
          <w:sz w:val="24"/>
          <w:szCs w:val="24"/>
        </w:rPr>
        <w:t>93</w:t>
      </w:r>
      <w:r>
        <w:rPr>
          <w:rFonts w:ascii="Times New Roman" w:hAnsi="Times New Roman" w:hint="eastAsia"/>
          <w:kern w:val="0"/>
          <w:sz w:val="24"/>
          <w:szCs w:val="24"/>
        </w:rPr>
        <w:t>号</w:t>
      </w:r>
      <w:proofErr w:type="gramEnd"/>
      <w:r>
        <w:rPr>
          <w:rFonts w:ascii="Times New Roman" w:hAnsi="Times New Roman" w:hint="eastAsia"/>
          <w:kern w:val="0"/>
          <w:sz w:val="24"/>
          <w:szCs w:val="24"/>
        </w:rPr>
        <w:t>厦门国际航运中心</w:t>
      </w:r>
      <w:r>
        <w:rPr>
          <w:rFonts w:ascii="Times New Roman" w:hAnsi="Times New Roman" w:hint="eastAsia"/>
          <w:kern w:val="0"/>
          <w:sz w:val="24"/>
          <w:szCs w:val="24"/>
        </w:rPr>
        <w:t>C</w:t>
      </w:r>
      <w:r>
        <w:rPr>
          <w:rFonts w:ascii="Times New Roman" w:hAnsi="Times New Roman" w:hint="eastAsia"/>
          <w:kern w:val="0"/>
          <w:sz w:val="24"/>
          <w:szCs w:val="24"/>
        </w:rPr>
        <w:t>栋</w:t>
      </w:r>
      <w:r>
        <w:rPr>
          <w:rFonts w:ascii="Times New Roman" w:hAnsi="Times New Roman" w:hint="eastAsia"/>
          <w:kern w:val="0"/>
          <w:sz w:val="24"/>
          <w:szCs w:val="24"/>
        </w:rPr>
        <w:t>4</w:t>
      </w:r>
      <w:r>
        <w:rPr>
          <w:rFonts w:ascii="Times New Roman" w:hAnsi="Times New Roman" w:hint="eastAsia"/>
          <w:kern w:val="0"/>
          <w:sz w:val="24"/>
          <w:szCs w:val="24"/>
        </w:rPr>
        <w:t>层</w:t>
      </w:r>
      <w:r>
        <w:rPr>
          <w:rFonts w:ascii="Times New Roman" w:hAnsi="Times New Roman" w:hint="eastAsia"/>
          <w:kern w:val="0"/>
          <w:sz w:val="24"/>
          <w:szCs w:val="24"/>
        </w:rPr>
        <w:t>431</w:t>
      </w:r>
      <w:r>
        <w:rPr>
          <w:rFonts w:ascii="Times New Roman" w:hAnsi="Times New Roman" w:hint="eastAsia"/>
          <w:kern w:val="0"/>
          <w:sz w:val="24"/>
          <w:szCs w:val="24"/>
        </w:rPr>
        <w:t>单元</w:t>
      </w:r>
      <w:r>
        <w:rPr>
          <w:rFonts w:ascii="Times New Roman" w:hAnsi="Times New Roman" w:hint="eastAsia"/>
          <w:kern w:val="0"/>
          <w:sz w:val="24"/>
          <w:szCs w:val="24"/>
        </w:rPr>
        <w:t>H</w:t>
      </w:r>
    </w:p>
    <w:p w14:paraId="3FBD1D6F"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法定代表人：</w:t>
      </w:r>
      <w:proofErr w:type="gramStart"/>
      <w:r>
        <w:rPr>
          <w:rFonts w:ascii="Times New Roman" w:hAnsi="Times New Roman" w:hint="eastAsia"/>
          <w:kern w:val="0"/>
          <w:sz w:val="24"/>
          <w:szCs w:val="24"/>
        </w:rPr>
        <w:t>胡精</w:t>
      </w:r>
      <w:proofErr w:type="gramEnd"/>
      <w:r>
        <w:rPr>
          <w:rFonts w:ascii="Times New Roman" w:hAnsi="Times New Roman" w:hint="eastAsia"/>
          <w:kern w:val="0"/>
          <w:sz w:val="24"/>
          <w:szCs w:val="24"/>
        </w:rPr>
        <w:t>沛</w:t>
      </w:r>
    </w:p>
    <w:p w14:paraId="551EF86D"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统一社会信用代码：</w:t>
      </w:r>
      <w:r>
        <w:rPr>
          <w:rFonts w:ascii="Times New Roman" w:hAnsi="Times New Roman" w:hint="eastAsia"/>
          <w:kern w:val="0"/>
          <w:sz w:val="24"/>
          <w:szCs w:val="24"/>
        </w:rPr>
        <w:t>91350200MA32WTJB9K</w:t>
      </w:r>
    </w:p>
    <w:p w14:paraId="202D43EB"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注册资本：</w:t>
      </w:r>
      <w:r>
        <w:rPr>
          <w:rFonts w:ascii="Times New Roman" w:hAnsi="Times New Roman"/>
          <w:kern w:val="0"/>
          <w:sz w:val="24"/>
          <w:szCs w:val="24"/>
        </w:rPr>
        <w:t>1,000</w:t>
      </w:r>
      <w:r>
        <w:rPr>
          <w:rFonts w:ascii="Times New Roman" w:hAnsi="Times New Roman"/>
          <w:kern w:val="0"/>
          <w:sz w:val="24"/>
          <w:szCs w:val="24"/>
        </w:rPr>
        <w:t>万元</w:t>
      </w:r>
    </w:p>
    <w:p w14:paraId="03934B71"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公司类型：有限责任公司</w:t>
      </w:r>
      <w:r>
        <w:rPr>
          <w:rFonts w:ascii="Times New Roman" w:hAnsi="Times New Roman" w:hint="eastAsia"/>
          <w:kern w:val="0"/>
          <w:sz w:val="24"/>
          <w:szCs w:val="24"/>
        </w:rPr>
        <w:t>（自然人独资）</w:t>
      </w:r>
    </w:p>
    <w:p w14:paraId="44C1E2F3"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成立日期：</w:t>
      </w:r>
      <w:r>
        <w:rPr>
          <w:rFonts w:ascii="Times New Roman" w:hAnsi="Times New Roman"/>
          <w:kern w:val="0"/>
          <w:sz w:val="24"/>
          <w:szCs w:val="24"/>
        </w:rPr>
        <w:t>2019</w:t>
      </w:r>
      <w:r>
        <w:rPr>
          <w:rFonts w:ascii="Times New Roman" w:hAnsi="Times New Roman" w:hint="eastAsia"/>
          <w:kern w:val="0"/>
          <w:sz w:val="24"/>
          <w:szCs w:val="24"/>
        </w:rPr>
        <w:t>年</w:t>
      </w:r>
      <w:r>
        <w:rPr>
          <w:rFonts w:ascii="Times New Roman" w:hAnsi="Times New Roman"/>
          <w:kern w:val="0"/>
          <w:sz w:val="24"/>
          <w:szCs w:val="24"/>
        </w:rPr>
        <w:t>6</w:t>
      </w:r>
      <w:r>
        <w:rPr>
          <w:rFonts w:ascii="Times New Roman" w:hAnsi="Times New Roman" w:hint="eastAsia"/>
          <w:kern w:val="0"/>
          <w:sz w:val="24"/>
          <w:szCs w:val="24"/>
        </w:rPr>
        <w:t>月</w:t>
      </w:r>
      <w:r>
        <w:rPr>
          <w:rFonts w:ascii="Times New Roman" w:hAnsi="Times New Roman"/>
          <w:kern w:val="0"/>
          <w:sz w:val="24"/>
          <w:szCs w:val="24"/>
        </w:rPr>
        <w:t>3</w:t>
      </w:r>
      <w:r>
        <w:rPr>
          <w:rFonts w:ascii="Times New Roman" w:hAnsi="Times New Roman" w:hint="eastAsia"/>
          <w:kern w:val="0"/>
          <w:sz w:val="24"/>
          <w:szCs w:val="24"/>
        </w:rPr>
        <w:t>日</w:t>
      </w:r>
    </w:p>
    <w:p w14:paraId="5D2C6742" w14:textId="77777777" w:rsidR="00E82A21" w:rsidRDefault="006277F4">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经营期限：</w:t>
      </w:r>
      <w:r>
        <w:rPr>
          <w:rFonts w:ascii="Times New Roman" w:hAnsi="Times New Roman" w:hint="eastAsia"/>
          <w:kern w:val="0"/>
          <w:sz w:val="24"/>
          <w:szCs w:val="24"/>
        </w:rPr>
        <w:t>2019</w:t>
      </w:r>
      <w:r>
        <w:rPr>
          <w:rFonts w:ascii="Times New Roman" w:hAnsi="Times New Roman" w:hint="eastAsia"/>
          <w:kern w:val="0"/>
          <w:sz w:val="24"/>
          <w:szCs w:val="24"/>
        </w:rPr>
        <w:t>年</w:t>
      </w:r>
      <w:r>
        <w:rPr>
          <w:rFonts w:ascii="Times New Roman" w:hAnsi="Times New Roman" w:hint="eastAsia"/>
          <w:kern w:val="0"/>
          <w:sz w:val="24"/>
          <w:szCs w:val="24"/>
        </w:rPr>
        <w:t>6</w:t>
      </w:r>
      <w:r>
        <w:rPr>
          <w:rFonts w:ascii="Times New Roman" w:hAnsi="Times New Roman" w:hint="eastAsia"/>
          <w:kern w:val="0"/>
          <w:sz w:val="24"/>
          <w:szCs w:val="24"/>
        </w:rPr>
        <w:t>月</w:t>
      </w:r>
      <w:r>
        <w:rPr>
          <w:rFonts w:ascii="Times New Roman" w:hAnsi="Times New Roman" w:hint="eastAsia"/>
          <w:kern w:val="0"/>
          <w:sz w:val="24"/>
          <w:szCs w:val="24"/>
        </w:rPr>
        <w:t>3</w:t>
      </w:r>
      <w:r>
        <w:rPr>
          <w:rFonts w:ascii="Times New Roman" w:hAnsi="Times New Roman" w:hint="eastAsia"/>
          <w:kern w:val="0"/>
          <w:sz w:val="24"/>
          <w:szCs w:val="24"/>
        </w:rPr>
        <w:t>日</w:t>
      </w:r>
      <w:r>
        <w:rPr>
          <w:rFonts w:ascii="Times New Roman" w:hAnsi="Times New Roman" w:hint="eastAsia"/>
          <w:kern w:val="0"/>
          <w:sz w:val="24"/>
          <w:szCs w:val="24"/>
        </w:rPr>
        <w:t xml:space="preserve"> </w:t>
      </w:r>
      <w:r>
        <w:rPr>
          <w:rFonts w:ascii="Times New Roman" w:hAnsi="Times New Roman" w:hint="eastAsia"/>
          <w:kern w:val="0"/>
          <w:sz w:val="24"/>
          <w:szCs w:val="24"/>
        </w:rPr>
        <w:t>至</w:t>
      </w:r>
      <w:r>
        <w:rPr>
          <w:rFonts w:ascii="Times New Roman" w:hAnsi="Times New Roman" w:hint="eastAsia"/>
          <w:kern w:val="0"/>
          <w:sz w:val="24"/>
          <w:szCs w:val="24"/>
        </w:rPr>
        <w:t>2069</w:t>
      </w:r>
      <w:r>
        <w:rPr>
          <w:rFonts w:ascii="Times New Roman" w:hAnsi="Times New Roman" w:hint="eastAsia"/>
          <w:kern w:val="0"/>
          <w:sz w:val="24"/>
          <w:szCs w:val="24"/>
        </w:rPr>
        <w:t>年</w:t>
      </w:r>
      <w:r>
        <w:rPr>
          <w:rFonts w:ascii="Times New Roman" w:hAnsi="Times New Roman" w:hint="eastAsia"/>
          <w:kern w:val="0"/>
          <w:sz w:val="24"/>
          <w:szCs w:val="24"/>
        </w:rPr>
        <w:t>6</w:t>
      </w:r>
      <w:r>
        <w:rPr>
          <w:rFonts w:ascii="Times New Roman" w:hAnsi="Times New Roman" w:hint="eastAsia"/>
          <w:kern w:val="0"/>
          <w:sz w:val="24"/>
          <w:szCs w:val="24"/>
        </w:rPr>
        <w:t>月</w:t>
      </w:r>
      <w:r>
        <w:rPr>
          <w:rFonts w:ascii="Times New Roman" w:hAnsi="Times New Roman" w:hint="eastAsia"/>
          <w:kern w:val="0"/>
          <w:sz w:val="24"/>
          <w:szCs w:val="24"/>
        </w:rPr>
        <w:t>2</w:t>
      </w:r>
      <w:r>
        <w:rPr>
          <w:rFonts w:ascii="Times New Roman" w:hAnsi="Times New Roman" w:hint="eastAsia"/>
          <w:kern w:val="0"/>
          <w:sz w:val="24"/>
          <w:szCs w:val="24"/>
        </w:rPr>
        <w:t>日</w:t>
      </w:r>
    </w:p>
    <w:p w14:paraId="0B8226CC" w14:textId="77777777" w:rsidR="00E82A21" w:rsidRDefault="006277F4">
      <w:pPr>
        <w:spacing w:line="360" w:lineRule="auto"/>
        <w:ind w:firstLineChars="200" w:firstLine="480"/>
        <w:rPr>
          <w:rFonts w:ascii="宋体" w:hAnsi="宋体"/>
          <w:sz w:val="24"/>
          <w:szCs w:val="24"/>
        </w:rPr>
      </w:pPr>
      <w:r>
        <w:rPr>
          <w:rFonts w:ascii="Times New Roman" w:hAnsi="Times New Roman"/>
          <w:kern w:val="0"/>
          <w:sz w:val="24"/>
          <w:szCs w:val="24"/>
        </w:rPr>
        <w:t>经营范围：</w:t>
      </w:r>
      <w:r>
        <w:rPr>
          <w:rFonts w:ascii="Times New Roman" w:hAnsi="Times New Roman" w:hint="eastAsia"/>
          <w:kern w:val="0"/>
          <w:sz w:val="24"/>
          <w:szCs w:val="24"/>
        </w:rPr>
        <w:t>许可项目：矿产资源（非煤矿山）开采；煤炭开采；矿产资源勘查；各类工程建设活动；建筑劳务分包。（依法须经批准的项目，经相关部门批准后方可开展经营活动，具体经营项目以相关部门批准文件或许可证件为准）。一般项目：进出口代理；矿物洗选加工；煤炭洗选；煤炭及制品销售；化工产品销售（不含许可类化工产品）；非金属矿及制品销售；建筑装饰材料销售；水泥制品销售；建筑用钢筋产品销售；机械设备销售；畜牧机械销售；建筑用金属配件销售；电气机械设备销售；国内贸易代理；金属材料制造；园林绿化工程施工；通用设备修理；电气设备修理；化妆品零售。（除依法须经批准的项目外，凭营业执照依法自主开展经营活动）。</w:t>
      </w:r>
    </w:p>
    <w:p w14:paraId="1B170F18" w14:textId="77777777" w:rsidR="00E82A21" w:rsidRDefault="006277F4">
      <w:pPr>
        <w:spacing w:line="360" w:lineRule="auto"/>
        <w:ind w:firstLineChars="200" w:firstLine="482"/>
        <w:outlineLvl w:val="1"/>
        <w:rPr>
          <w:rFonts w:ascii="宋体" w:hAnsi="宋体"/>
          <w:b/>
          <w:bCs/>
          <w:sz w:val="24"/>
          <w:szCs w:val="24"/>
        </w:rPr>
      </w:pPr>
      <w:r>
        <w:rPr>
          <w:rFonts w:ascii="宋体" w:hAnsi="宋体"/>
          <w:b/>
          <w:bCs/>
          <w:sz w:val="24"/>
          <w:szCs w:val="24"/>
        </w:rPr>
        <w:t>（二）哈富矿业2021年简要会计报表</w:t>
      </w:r>
    </w:p>
    <w:p w14:paraId="5EAABAEC" w14:textId="77777777" w:rsidR="00E82A21" w:rsidRDefault="006277F4">
      <w:pPr>
        <w:ind w:firstLineChars="200" w:firstLine="480"/>
        <w:jc w:val="right"/>
        <w:rPr>
          <w:rFonts w:ascii="Times New Roman" w:hAnsi="Times New Roman"/>
          <w:kern w:val="0"/>
          <w:sz w:val="24"/>
          <w:szCs w:val="24"/>
        </w:rPr>
      </w:pPr>
      <w:r>
        <w:rPr>
          <w:rFonts w:ascii="Times New Roman" w:hAnsi="Times New Roman"/>
          <w:kern w:val="0"/>
          <w:sz w:val="24"/>
          <w:szCs w:val="21"/>
        </w:rPr>
        <w:t>单位：元</w:t>
      </w:r>
    </w:p>
    <w:tbl>
      <w:tblPr>
        <w:tblW w:w="5000" w:type="pct"/>
        <w:jc w:val="center"/>
        <w:tblBorders>
          <w:top w:val="thinThickSmallGap" w:sz="18" w:space="0" w:color="000000"/>
          <w:bottom w:val="thickThinSmallGap" w:sz="18" w:space="0" w:color="000000"/>
          <w:insideH w:val="single" w:sz="4" w:space="0" w:color="000000"/>
          <w:insideV w:val="single" w:sz="6" w:space="0" w:color="000000"/>
        </w:tblBorders>
        <w:tblLook w:val="04A0" w:firstRow="1" w:lastRow="0" w:firstColumn="1" w:lastColumn="0" w:noHBand="0" w:noVBand="1"/>
      </w:tblPr>
      <w:tblGrid>
        <w:gridCol w:w="4675"/>
        <w:gridCol w:w="3847"/>
      </w:tblGrid>
      <w:tr w:rsidR="00E82A21" w14:paraId="471A2C05" w14:textId="77777777">
        <w:trPr>
          <w:jc w:val="center"/>
        </w:trPr>
        <w:tc>
          <w:tcPr>
            <w:tcW w:w="2743" w:type="pct"/>
          </w:tcPr>
          <w:p w14:paraId="56D1DA35" w14:textId="77777777" w:rsidR="00E82A21" w:rsidRDefault="006277F4">
            <w:pPr>
              <w:autoSpaceDE w:val="0"/>
              <w:autoSpaceDN w:val="0"/>
              <w:adjustRightInd w:val="0"/>
              <w:jc w:val="center"/>
              <w:rPr>
                <w:rFonts w:ascii="Times New Roman" w:hAnsi="Times New Roman"/>
                <w:b/>
                <w:color w:val="000000"/>
                <w:kern w:val="0"/>
                <w:szCs w:val="21"/>
              </w:rPr>
            </w:pPr>
            <w:r>
              <w:rPr>
                <w:rFonts w:ascii="Times New Roman"/>
                <w:b/>
                <w:szCs w:val="21"/>
              </w:rPr>
              <w:t>项目</w:t>
            </w:r>
          </w:p>
        </w:tc>
        <w:tc>
          <w:tcPr>
            <w:tcW w:w="2257" w:type="pct"/>
            <w:vAlign w:val="center"/>
          </w:tcPr>
          <w:p w14:paraId="4BAD015D" w14:textId="77777777" w:rsidR="00E82A21" w:rsidRDefault="006277F4">
            <w:pPr>
              <w:autoSpaceDE w:val="0"/>
              <w:autoSpaceDN w:val="0"/>
              <w:adjustRightInd w:val="0"/>
              <w:jc w:val="center"/>
              <w:rPr>
                <w:rFonts w:ascii="Times New Roman" w:hAnsi="Times New Roman"/>
                <w:b/>
                <w:color w:val="000000"/>
                <w:kern w:val="0"/>
                <w:szCs w:val="21"/>
              </w:rPr>
            </w:pPr>
            <w:r>
              <w:rPr>
                <w:rFonts w:ascii="Times New Roman"/>
                <w:b/>
                <w:szCs w:val="21"/>
              </w:rPr>
              <w:t>2021</w:t>
            </w:r>
            <w:r>
              <w:rPr>
                <w:rFonts w:ascii="Times New Roman"/>
                <w:b/>
                <w:szCs w:val="21"/>
              </w:rPr>
              <w:t>年</w:t>
            </w:r>
            <w:r>
              <w:rPr>
                <w:rFonts w:ascii="Times New Roman"/>
                <w:b/>
                <w:szCs w:val="21"/>
              </w:rPr>
              <w:t>12</w:t>
            </w:r>
            <w:r>
              <w:rPr>
                <w:rFonts w:ascii="Times New Roman"/>
                <w:b/>
                <w:szCs w:val="21"/>
              </w:rPr>
              <w:t>月</w:t>
            </w:r>
            <w:r>
              <w:rPr>
                <w:rFonts w:ascii="Times New Roman"/>
                <w:b/>
                <w:szCs w:val="21"/>
              </w:rPr>
              <w:t>31</w:t>
            </w:r>
            <w:r>
              <w:rPr>
                <w:rFonts w:ascii="Times New Roman"/>
                <w:b/>
                <w:szCs w:val="21"/>
              </w:rPr>
              <w:t>日</w:t>
            </w:r>
          </w:p>
        </w:tc>
      </w:tr>
      <w:tr w:rsidR="00E82A21" w14:paraId="6B338B52" w14:textId="77777777">
        <w:trPr>
          <w:jc w:val="center"/>
        </w:trPr>
        <w:tc>
          <w:tcPr>
            <w:tcW w:w="2743" w:type="pct"/>
          </w:tcPr>
          <w:p w14:paraId="5217907C"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总资产</w:t>
            </w:r>
          </w:p>
        </w:tc>
        <w:tc>
          <w:tcPr>
            <w:tcW w:w="2257" w:type="pct"/>
            <w:vAlign w:val="center"/>
          </w:tcPr>
          <w:p w14:paraId="6D0EC8A0" w14:textId="77777777" w:rsidR="00E82A21" w:rsidRDefault="006277F4">
            <w:pPr>
              <w:autoSpaceDE w:val="0"/>
              <w:autoSpaceDN w:val="0"/>
              <w:adjustRightInd w:val="0"/>
              <w:jc w:val="right"/>
              <w:rPr>
                <w:rFonts w:ascii="Times New Roman" w:hAnsi="Times New Roman"/>
                <w:color w:val="000000"/>
                <w:kern w:val="0"/>
                <w:szCs w:val="21"/>
              </w:rPr>
            </w:pPr>
            <w:r>
              <w:rPr>
                <w:rFonts w:ascii="Times New Roman"/>
                <w:szCs w:val="21"/>
              </w:rPr>
              <w:t>26</w:t>
            </w:r>
            <w:r>
              <w:rPr>
                <w:rFonts w:ascii="Times New Roman" w:hint="eastAsia"/>
                <w:szCs w:val="21"/>
              </w:rPr>
              <w:t>,553,021.15</w:t>
            </w:r>
          </w:p>
        </w:tc>
      </w:tr>
      <w:tr w:rsidR="00E82A21" w14:paraId="0BBBB8DE" w14:textId="77777777">
        <w:trPr>
          <w:jc w:val="center"/>
        </w:trPr>
        <w:tc>
          <w:tcPr>
            <w:tcW w:w="2743" w:type="pct"/>
          </w:tcPr>
          <w:p w14:paraId="3374C9E4"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总负债</w:t>
            </w:r>
          </w:p>
        </w:tc>
        <w:tc>
          <w:tcPr>
            <w:tcW w:w="2257" w:type="pct"/>
            <w:vAlign w:val="center"/>
          </w:tcPr>
          <w:p w14:paraId="22720878" w14:textId="77777777" w:rsidR="00E82A21" w:rsidRDefault="006277F4">
            <w:pPr>
              <w:autoSpaceDE w:val="0"/>
              <w:autoSpaceDN w:val="0"/>
              <w:adjustRightInd w:val="0"/>
              <w:jc w:val="right"/>
              <w:rPr>
                <w:rFonts w:ascii="Times New Roman" w:hAnsi="Times New Roman"/>
                <w:color w:val="000000"/>
                <w:kern w:val="0"/>
                <w:szCs w:val="21"/>
              </w:rPr>
            </w:pPr>
            <w:r>
              <w:rPr>
                <w:rFonts w:ascii="Times New Roman"/>
                <w:szCs w:val="21"/>
              </w:rPr>
              <w:t>8</w:t>
            </w:r>
            <w:r>
              <w:rPr>
                <w:rFonts w:ascii="Times New Roman" w:hint="eastAsia"/>
                <w:szCs w:val="21"/>
              </w:rPr>
              <w:t>,586,437.44</w:t>
            </w:r>
          </w:p>
        </w:tc>
      </w:tr>
      <w:tr w:rsidR="00E82A21" w14:paraId="4A248A66" w14:textId="77777777">
        <w:trPr>
          <w:jc w:val="center"/>
        </w:trPr>
        <w:tc>
          <w:tcPr>
            <w:tcW w:w="2743" w:type="pct"/>
            <w:vAlign w:val="center"/>
          </w:tcPr>
          <w:p w14:paraId="3BAFC4E3"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hint="eastAsia"/>
                <w:b/>
                <w:bCs/>
                <w:szCs w:val="21"/>
              </w:rPr>
              <w:t>股东权益合计</w:t>
            </w:r>
          </w:p>
        </w:tc>
        <w:tc>
          <w:tcPr>
            <w:tcW w:w="2257" w:type="pct"/>
            <w:vAlign w:val="center"/>
          </w:tcPr>
          <w:p w14:paraId="612100B2" w14:textId="77777777" w:rsidR="00E82A21" w:rsidRDefault="006277F4">
            <w:pPr>
              <w:autoSpaceDE w:val="0"/>
              <w:autoSpaceDN w:val="0"/>
              <w:adjustRightInd w:val="0"/>
              <w:jc w:val="right"/>
              <w:rPr>
                <w:rFonts w:ascii="Times New Roman" w:hAnsi="Times New Roman"/>
                <w:color w:val="000000"/>
                <w:kern w:val="0"/>
                <w:szCs w:val="21"/>
              </w:rPr>
            </w:pPr>
            <w:r>
              <w:rPr>
                <w:rFonts w:ascii="Times New Roman"/>
                <w:szCs w:val="21"/>
              </w:rPr>
              <w:t>17</w:t>
            </w:r>
            <w:r>
              <w:rPr>
                <w:rFonts w:ascii="Times New Roman" w:hint="eastAsia"/>
                <w:szCs w:val="21"/>
              </w:rPr>
              <w:t>,966,583.71</w:t>
            </w:r>
          </w:p>
        </w:tc>
      </w:tr>
      <w:tr w:rsidR="00E82A21" w14:paraId="65CBEEBD" w14:textId="77777777">
        <w:trPr>
          <w:jc w:val="center"/>
        </w:trPr>
        <w:tc>
          <w:tcPr>
            <w:tcW w:w="2743" w:type="pct"/>
          </w:tcPr>
          <w:p w14:paraId="76DE4DCF" w14:textId="77777777" w:rsidR="00E82A21" w:rsidRDefault="006277F4">
            <w:pPr>
              <w:autoSpaceDE w:val="0"/>
              <w:autoSpaceDN w:val="0"/>
              <w:adjustRightInd w:val="0"/>
              <w:jc w:val="center"/>
              <w:rPr>
                <w:rFonts w:ascii="Times New Roman" w:hAnsi="Times New Roman"/>
                <w:b/>
                <w:color w:val="000000"/>
                <w:kern w:val="0"/>
                <w:szCs w:val="21"/>
              </w:rPr>
            </w:pPr>
            <w:r>
              <w:rPr>
                <w:rFonts w:ascii="Times New Roman"/>
                <w:b/>
                <w:szCs w:val="21"/>
              </w:rPr>
              <w:t>项目</w:t>
            </w:r>
          </w:p>
        </w:tc>
        <w:tc>
          <w:tcPr>
            <w:tcW w:w="2257" w:type="pct"/>
            <w:vAlign w:val="center"/>
          </w:tcPr>
          <w:p w14:paraId="495BE779" w14:textId="77777777" w:rsidR="00E82A21" w:rsidRDefault="006277F4">
            <w:pPr>
              <w:autoSpaceDE w:val="0"/>
              <w:autoSpaceDN w:val="0"/>
              <w:adjustRightInd w:val="0"/>
              <w:jc w:val="center"/>
              <w:rPr>
                <w:rFonts w:ascii="Times New Roman" w:hAnsi="Times New Roman"/>
                <w:b/>
                <w:color w:val="000000"/>
                <w:kern w:val="0"/>
                <w:szCs w:val="21"/>
              </w:rPr>
            </w:pPr>
            <w:r>
              <w:rPr>
                <w:rFonts w:ascii="Times New Roman"/>
                <w:b/>
                <w:szCs w:val="21"/>
              </w:rPr>
              <w:t>2021</w:t>
            </w:r>
            <w:r>
              <w:rPr>
                <w:rFonts w:ascii="Times New Roman"/>
                <w:b/>
                <w:szCs w:val="21"/>
              </w:rPr>
              <w:t>年度</w:t>
            </w:r>
          </w:p>
        </w:tc>
      </w:tr>
      <w:tr w:rsidR="00E82A21" w14:paraId="47355314" w14:textId="77777777">
        <w:trPr>
          <w:jc w:val="center"/>
        </w:trPr>
        <w:tc>
          <w:tcPr>
            <w:tcW w:w="2743" w:type="pct"/>
          </w:tcPr>
          <w:p w14:paraId="5B92A412"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lastRenderedPageBreak/>
              <w:t>营业收入</w:t>
            </w:r>
          </w:p>
        </w:tc>
        <w:tc>
          <w:tcPr>
            <w:tcW w:w="2257" w:type="pct"/>
            <w:vAlign w:val="center"/>
          </w:tcPr>
          <w:p w14:paraId="23AD3775"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szCs w:val="21"/>
              </w:rPr>
              <w:t>81</w:t>
            </w:r>
            <w:r>
              <w:rPr>
                <w:rFonts w:ascii="Times New Roman" w:hint="eastAsia"/>
                <w:szCs w:val="21"/>
              </w:rPr>
              <w:t>,566.05</w:t>
            </w:r>
          </w:p>
        </w:tc>
      </w:tr>
      <w:tr w:rsidR="00E82A21" w14:paraId="36D5E28A" w14:textId="77777777">
        <w:trPr>
          <w:jc w:val="center"/>
        </w:trPr>
        <w:tc>
          <w:tcPr>
            <w:tcW w:w="2743" w:type="pct"/>
          </w:tcPr>
          <w:p w14:paraId="63C0FC5B"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营业利润</w:t>
            </w:r>
          </w:p>
        </w:tc>
        <w:tc>
          <w:tcPr>
            <w:tcW w:w="2257" w:type="pct"/>
            <w:vAlign w:val="center"/>
          </w:tcPr>
          <w:p w14:paraId="7D9E23F1"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hint="eastAsia"/>
                <w:szCs w:val="21"/>
              </w:rPr>
              <w:t>-</w:t>
            </w:r>
            <w:r>
              <w:rPr>
                <w:rFonts w:ascii="Times New Roman"/>
                <w:szCs w:val="21"/>
              </w:rPr>
              <w:t>1</w:t>
            </w:r>
            <w:r>
              <w:rPr>
                <w:rFonts w:ascii="Times New Roman" w:hint="eastAsia"/>
                <w:szCs w:val="21"/>
              </w:rPr>
              <w:t>,373,841.16</w:t>
            </w:r>
          </w:p>
        </w:tc>
      </w:tr>
      <w:tr w:rsidR="00E82A21" w14:paraId="2AC43A92" w14:textId="77777777">
        <w:trPr>
          <w:jc w:val="center"/>
        </w:trPr>
        <w:tc>
          <w:tcPr>
            <w:tcW w:w="2743" w:type="pct"/>
          </w:tcPr>
          <w:p w14:paraId="4660AA10"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净利润</w:t>
            </w:r>
          </w:p>
        </w:tc>
        <w:tc>
          <w:tcPr>
            <w:tcW w:w="2257" w:type="pct"/>
            <w:vAlign w:val="center"/>
          </w:tcPr>
          <w:p w14:paraId="0569112A"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hint="eastAsia"/>
                <w:szCs w:val="21"/>
              </w:rPr>
              <w:t>-</w:t>
            </w:r>
            <w:r>
              <w:rPr>
                <w:rFonts w:ascii="Times New Roman"/>
                <w:szCs w:val="21"/>
              </w:rPr>
              <w:t>1</w:t>
            </w:r>
            <w:r>
              <w:rPr>
                <w:rFonts w:ascii="Times New Roman" w:hint="eastAsia"/>
                <w:szCs w:val="21"/>
              </w:rPr>
              <w:t>,373,841.16</w:t>
            </w:r>
          </w:p>
        </w:tc>
      </w:tr>
      <w:tr w:rsidR="00E82A21" w14:paraId="5726FE6B" w14:textId="77777777">
        <w:trPr>
          <w:jc w:val="center"/>
        </w:trPr>
        <w:tc>
          <w:tcPr>
            <w:tcW w:w="2743" w:type="pct"/>
          </w:tcPr>
          <w:p w14:paraId="4507C35D"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经营活动产生的现金流量净额</w:t>
            </w:r>
          </w:p>
        </w:tc>
        <w:tc>
          <w:tcPr>
            <w:tcW w:w="2257" w:type="pct"/>
          </w:tcPr>
          <w:p w14:paraId="55DE95D5"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hint="eastAsia"/>
                <w:szCs w:val="21"/>
              </w:rPr>
              <w:t>-</w:t>
            </w:r>
            <w:r>
              <w:rPr>
                <w:rFonts w:ascii="Times New Roman"/>
                <w:szCs w:val="21"/>
              </w:rPr>
              <w:t>12</w:t>
            </w:r>
            <w:r>
              <w:rPr>
                <w:rFonts w:ascii="Times New Roman" w:hint="eastAsia"/>
                <w:szCs w:val="21"/>
              </w:rPr>
              <w:t>,436,547.47</w:t>
            </w:r>
          </w:p>
        </w:tc>
      </w:tr>
      <w:tr w:rsidR="00E82A21" w14:paraId="773CAC2F" w14:textId="77777777">
        <w:trPr>
          <w:jc w:val="center"/>
        </w:trPr>
        <w:tc>
          <w:tcPr>
            <w:tcW w:w="2743" w:type="pct"/>
          </w:tcPr>
          <w:p w14:paraId="0DFB3A3F"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投资活动产生的现金流量净额</w:t>
            </w:r>
          </w:p>
        </w:tc>
        <w:tc>
          <w:tcPr>
            <w:tcW w:w="2257" w:type="pct"/>
          </w:tcPr>
          <w:p w14:paraId="79F64186"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hint="eastAsia"/>
                <w:szCs w:val="21"/>
              </w:rPr>
              <w:t>-</w:t>
            </w:r>
            <w:r>
              <w:rPr>
                <w:rFonts w:ascii="Times New Roman"/>
                <w:szCs w:val="21"/>
              </w:rPr>
              <w:t>6</w:t>
            </w:r>
            <w:r>
              <w:rPr>
                <w:rFonts w:ascii="Times New Roman" w:hint="eastAsia"/>
                <w:szCs w:val="21"/>
              </w:rPr>
              <w:t>,339,365.46</w:t>
            </w:r>
          </w:p>
        </w:tc>
      </w:tr>
      <w:tr w:rsidR="00E82A21" w14:paraId="3E3CBF71" w14:textId="77777777">
        <w:trPr>
          <w:jc w:val="center"/>
        </w:trPr>
        <w:tc>
          <w:tcPr>
            <w:tcW w:w="2743" w:type="pct"/>
          </w:tcPr>
          <w:p w14:paraId="6DA686AD"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筹资活动产生的现金流量净额</w:t>
            </w:r>
          </w:p>
        </w:tc>
        <w:tc>
          <w:tcPr>
            <w:tcW w:w="2257" w:type="pct"/>
          </w:tcPr>
          <w:p w14:paraId="28898193"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szCs w:val="21"/>
              </w:rPr>
              <w:t>18</w:t>
            </w:r>
            <w:r>
              <w:rPr>
                <w:rFonts w:ascii="Times New Roman" w:hint="eastAsia"/>
                <w:szCs w:val="21"/>
              </w:rPr>
              <w:t>,704,000.00</w:t>
            </w:r>
          </w:p>
        </w:tc>
      </w:tr>
      <w:tr w:rsidR="00E82A21" w14:paraId="6BDC660E" w14:textId="77777777">
        <w:trPr>
          <w:jc w:val="center"/>
        </w:trPr>
        <w:tc>
          <w:tcPr>
            <w:tcW w:w="2743" w:type="pct"/>
          </w:tcPr>
          <w:p w14:paraId="3B892020" w14:textId="77777777" w:rsidR="00E82A21" w:rsidRDefault="006277F4">
            <w:pPr>
              <w:autoSpaceDE w:val="0"/>
              <w:autoSpaceDN w:val="0"/>
              <w:adjustRightInd w:val="0"/>
              <w:jc w:val="left"/>
              <w:rPr>
                <w:rFonts w:ascii="Times New Roman" w:hAnsi="Times New Roman"/>
                <w:color w:val="000000"/>
                <w:kern w:val="0"/>
                <w:szCs w:val="21"/>
              </w:rPr>
            </w:pPr>
            <w:r>
              <w:rPr>
                <w:rFonts w:ascii="Times New Roman"/>
                <w:szCs w:val="21"/>
              </w:rPr>
              <w:t>现金及现金等价物净增加额</w:t>
            </w:r>
          </w:p>
        </w:tc>
        <w:tc>
          <w:tcPr>
            <w:tcW w:w="2257" w:type="pct"/>
            <w:vAlign w:val="center"/>
          </w:tcPr>
          <w:p w14:paraId="16A24FCF" w14:textId="77777777" w:rsidR="00E82A21" w:rsidRDefault="006277F4">
            <w:pPr>
              <w:autoSpaceDE w:val="0"/>
              <w:autoSpaceDN w:val="0"/>
              <w:adjustRightInd w:val="0"/>
              <w:jc w:val="right"/>
              <w:rPr>
                <w:rFonts w:ascii="Times New Roman" w:hAnsi="Times New Roman" w:cs="宋体"/>
                <w:color w:val="000000"/>
                <w:kern w:val="0"/>
                <w:szCs w:val="21"/>
              </w:rPr>
            </w:pPr>
            <w:r>
              <w:rPr>
                <w:rFonts w:ascii="Times New Roman"/>
                <w:szCs w:val="21"/>
              </w:rPr>
              <w:t>-71</w:t>
            </w:r>
            <w:r>
              <w:rPr>
                <w:rFonts w:ascii="Times New Roman" w:hint="eastAsia"/>
                <w:szCs w:val="21"/>
              </w:rPr>
              <w:t>,912.93</w:t>
            </w:r>
          </w:p>
        </w:tc>
      </w:tr>
    </w:tbl>
    <w:p w14:paraId="01440739" w14:textId="77777777" w:rsidR="00E82A21" w:rsidRDefault="006277F4">
      <w:pPr>
        <w:adjustRightInd w:val="0"/>
        <w:snapToGrid w:val="0"/>
        <w:rPr>
          <w:rFonts w:ascii="Times New Roman" w:hAnsi="Times New Roman"/>
          <w:color w:val="000000"/>
          <w:szCs w:val="21"/>
        </w:rPr>
      </w:pPr>
      <w:bookmarkStart w:id="0" w:name="_Hlk80174352"/>
      <w:r>
        <w:rPr>
          <w:rFonts w:ascii="Times New Roman" w:hAnsi="Times New Roman" w:hint="eastAsia"/>
          <w:color w:val="000000"/>
          <w:szCs w:val="21"/>
        </w:rPr>
        <w:t>注：</w:t>
      </w:r>
      <w:r>
        <w:rPr>
          <w:rFonts w:ascii="Times New Roman" w:hAnsi="Times New Roman" w:hint="eastAsia"/>
          <w:color w:val="000000"/>
          <w:szCs w:val="21"/>
        </w:rPr>
        <w:t>2</w:t>
      </w:r>
      <w:r>
        <w:rPr>
          <w:rFonts w:ascii="Times New Roman" w:hAnsi="Times New Roman"/>
          <w:color w:val="000000"/>
          <w:szCs w:val="21"/>
        </w:rPr>
        <w:t>021</w:t>
      </w:r>
      <w:r>
        <w:rPr>
          <w:rFonts w:ascii="Times New Roman" w:hAnsi="Times New Roman" w:hint="eastAsia"/>
          <w:color w:val="000000"/>
          <w:szCs w:val="21"/>
        </w:rPr>
        <w:t>年度财务数据经</w:t>
      </w:r>
      <w:proofErr w:type="gramStart"/>
      <w:r>
        <w:rPr>
          <w:rFonts w:ascii="Times New Roman" w:hAnsi="Times New Roman" w:hint="eastAsia"/>
          <w:color w:val="000000"/>
          <w:szCs w:val="21"/>
        </w:rPr>
        <w:t>北京捷勤</w:t>
      </w:r>
      <w:r>
        <w:rPr>
          <w:rFonts w:ascii="Times New Roman" w:hAnsi="Times New Roman"/>
          <w:color w:val="000000"/>
          <w:szCs w:val="21"/>
        </w:rPr>
        <w:t>丰汇</w:t>
      </w:r>
      <w:proofErr w:type="gramEnd"/>
      <w:r>
        <w:rPr>
          <w:rFonts w:ascii="Times New Roman" w:hAnsi="Times New Roman"/>
          <w:color w:val="000000"/>
          <w:szCs w:val="21"/>
        </w:rPr>
        <w:t>会计师事务所</w:t>
      </w:r>
      <w:r>
        <w:rPr>
          <w:rFonts w:ascii="Times New Roman" w:hAnsi="Times New Roman" w:hint="eastAsia"/>
          <w:color w:val="000000"/>
          <w:szCs w:val="21"/>
        </w:rPr>
        <w:t>有限</w:t>
      </w:r>
      <w:r>
        <w:rPr>
          <w:rFonts w:ascii="Times New Roman" w:hAnsi="Times New Roman"/>
          <w:color w:val="000000"/>
          <w:szCs w:val="21"/>
        </w:rPr>
        <w:t>公司</w:t>
      </w:r>
      <w:r>
        <w:rPr>
          <w:rFonts w:ascii="Times New Roman" w:hAnsi="Times New Roman" w:hint="eastAsia"/>
          <w:color w:val="000000"/>
          <w:szCs w:val="21"/>
        </w:rPr>
        <w:t>审计。</w:t>
      </w:r>
    </w:p>
    <w:bookmarkEnd w:id="0"/>
    <w:p w14:paraId="29D5CAFC" w14:textId="77777777" w:rsidR="00E82A21" w:rsidRDefault="00E82A21">
      <w:pPr>
        <w:adjustRightInd w:val="0"/>
        <w:snapToGrid w:val="0"/>
        <w:rPr>
          <w:rFonts w:ascii="Times New Roman" w:hAnsi="Times New Roman"/>
          <w:color w:val="000000"/>
          <w:szCs w:val="21"/>
        </w:rPr>
      </w:pPr>
    </w:p>
    <w:p w14:paraId="09D8DEA6" w14:textId="77777777" w:rsidR="00E82A21" w:rsidRDefault="006277F4">
      <w:pPr>
        <w:spacing w:line="360" w:lineRule="auto"/>
        <w:ind w:firstLineChars="200" w:firstLine="482"/>
        <w:outlineLvl w:val="0"/>
        <w:rPr>
          <w:rFonts w:ascii="宋体" w:hAnsi="宋体"/>
          <w:b/>
          <w:bCs/>
          <w:sz w:val="24"/>
          <w:szCs w:val="24"/>
        </w:rPr>
      </w:pPr>
      <w:r>
        <w:rPr>
          <w:rFonts w:ascii="宋体" w:hAnsi="宋体"/>
          <w:b/>
          <w:bCs/>
          <w:sz w:val="24"/>
          <w:szCs w:val="24"/>
        </w:rPr>
        <w:t>三、关联交易标的基本情况</w:t>
      </w:r>
    </w:p>
    <w:p w14:paraId="5FE22EA7" w14:textId="0903679B" w:rsidR="00E82A21" w:rsidRDefault="006277F4">
      <w:pPr>
        <w:spacing w:line="360" w:lineRule="auto"/>
        <w:ind w:firstLineChars="200" w:firstLine="480"/>
        <w:rPr>
          <w:rFonts w:ascii="宋体" w:hAnsi="宋体"/>
          <w:sz w:val="24"/>
          <w:szCs w:val="24"/>
        </w:rPr>
      </w:pPr>
      <w:proofErr w:type="gramStart"/>
      <w:r>
        <w:rPr>
          <w:rFonts w:ascii="宋体" w:hAnsi="宋体"/>
          <w:sz w:val="24"/>
          <w:szCs w:val="24"/>
        </w:rPr>
        <w:t>公司拟非公开</w:t>
      </w:r>
      <w:proofErr w:type="gramEnd"/>
      <w:r>
        <w:rPr>
          <w:rFonts w:ascii="宋体" w:hAnsi="宋体"/>
          <w:sz w:val="24"/>
          <w:szCs w:val="24"/>
        </w:rPr>
        <w:t>发行A股股票，</w:t>
      </w:r>
      <w:r>
        <w:rPr>
          <w:rFonts w:ascii="宋体" w:hAnsi="宋体" w:hint="eastAsia"/>
          <w:sz w:val="24"/>
          <w:szCs w:val="24"/>
        </w:rPr>
        <w:t>本次发行股票数量合计不超过</w:t>
      </w:r>
      <w:r w:rsidR="00ED2985" w:rsidRPr="00ED2985">
        <w:rPr>
          <w:rFonts w:ascii="宋体" w:hAnsi="宋体"/>
          <w:sz w:val="24"/>
          <w:szCs w:val="24"/>
        </w:rPr>
        <w:t>25,814,695</w:t>
      </w:r>
      <w:r>
        <w:rPr>
          <w:rFonts w:ascii="宋体" w:hAnsi="宋体" w:hint="eastAsia"/>
          <w:sz w:val="24"/>
          <w:szCs w:val="24"/>
        </w:rPr>
        <w:t>股（含），不超过本次发行前公司总股本的30%，</w:t>
      </w:r>
      <w:r>
        <w:rPr>
          <w:rFonts w:ascii="宋体" w:hAnsi="宋体"/>
          <w:sz w:val="24"/>
          <w:szCs w:val="24"/>
        </w:rPr>
        <w:t>募集资金总额不超过人民币</w:t>
      </w:r>
      <w:r w:rsidR="00ED2985" w:rsidRPr="00ED2985">
        <w:rPr>
          <w:rFonts w:ascii="宋体" w:hAnsi="宋体" w:hint="eastAsia"/>
          <w:sz w:val="24"/>
          <w:szCs w:val="24"/>
        </w:rPr>
        <w:t>403,999,977</w:t>
      </w:r>
      <w:r>
        <w:rPr>
          <w:rFonts w:ascii="宋体" w:hAnsi="宋体" w:hint="eastAsia"/>
          <w:sz w:val="24"/>
          <w:szCs w:val="24"/>
        </w:rPr>
        <w:t>元（含）</w:t>
      </w:r>
      <w:r>
        <w:rPr>
          <w:rFonts w:ascii="宋体" w:hAnsi="宋体"/>
          <w:sz w:val="24"/>
          <w:szCs w:val="24"/>
        </w:rPr>
        <w:t>，最终以中国证监会核准的发行数量为准。公司</w:t>
      </w:r>
      <w:r>
        <w:rPr>
          <w:rFonts w:ascii="宋体" w:hAnsi="宋体" w:hint="eastAsia"/>
          <w:sz w:val="24"/>
          <w:szCs w:val="24"/>
        </w:rPr>
        <w:t>发行</w:t>
      </w:r>
      <w:r>
        <w:rPr>
          <w:rFonts w:ascii="宋体" w:hAnsi="宋体"/>
          <w:sz w:val="24"/>
          <w:szCs w:val="24"/>
        </w:rPr>
        <w:t>对象哈富矿业认购本次非公开发行的全部股票数量。</w:t>
      </w:r>
    </w:p>
    <w:p w14:paraId="0324A289" w14:textId="39FBA6F8" w:rsidR="00E82A21" w:rsidRDefault="006277F4">
      <w:pPr>
        <w:spacing w:line="360" w:lineRule="auto"/>
        <w:ind w:firstLineChars="200" w:firstLine="482"/>
        <w:outlineLvl w:val="0"/>
        <w:rPr>
          <w:rFonts w:ascii="宋体" w:hAnsi="宋体"/>
          <w:b/>
          <w:bCs/>
          <w:sz w:val="24"/>
          <w:szCs w:val="24"/>
        </w:rPr>
      </w:pPr>
      <w:r>
        <w:rPr>
          <w:rFonts w:ascii="宋体" w:hAnsi="宋体"/>
          <w:b/>
          <w:bCs/>
          <w:sz w:val="24"/>
          <w:szCs w:val="24"/>
        </w:rPr>
        <w:t>四、</w:t>
      </w:r>
      <w:r w:rsidR="002A628D" w:rsidRPr="002A628D">
        <w:rPr>
          <w:rFonts w:ascii="宋体" w:hAnsi="宋体" w:hint="eastAsia"/>
          <w:b/>
          <w:bCs/>
          <w:sz w:val="24"/>
          <w:szCs w:val="24"/>
        </w:rPr>
        <w:t>补充协议（二）</w:t>
      </w:r>
      <w:r>
        <w:rPr>
          <w:rFonts w:ascii="宋体" w:hAnsi="宋体"/>
          <w:b/>
          <w:bCs/>
          <w:sz w:val="24"/>
          <w:szCs w:val="24"/>
        </w:rPr>
        <w:t>的主要内容</w:t>
      </w:r>
    </w:p>
    <w:p w14:paraId="2F7C261B" w14:textId="1C9BC331" w:rsidR="00E82A21" w:rsidRDefault="006277F4">
      <w:pPr>
        <w:spacing w:line="360" w:lineRule="auto"/>
        <w:ind w:firstLineChars="200" w:firstLine="480"/>
        <w:rPr>
          <w:rFonts w:ascii="Times New Roman" w:hAnsi="Times New Roman"/>
          <w:kern w:val="0"/>
          <w:sz w:val="24"/>
          <w:szCs w:val="24"/>
        </w:rPr>
      </w:pPr>
      <w:r>
        <w:rPr>
          <w:rFonts w:ascii="Times New Roman" w:hAnsi="Times New Roman"/>
          <w:sz w:val="24"/>
          <w:szCs w:val="24"/>
        </w:rPr>
        <w:t>2022</w:t>
      </w:r>
      <w:r>
        <w:rPr>
          <w:rFonts w:ascii="Times New Roman" w:hAnsi="Times New Roman" w:hint="eastAsia"/>
          <w:sz w:val="24"/>
          <w:szCs w:val="24"/>
        </w:rPr>
        <w:t>年</w:t>
      </w:r>
      <w:r w:rsidR="00ED2985">
        <w:rPr>
          <w:rFonts w:ascii="Times New Roman" w:hAnsi="Times New Roman"/>
          <w:sz w:val="24"/>
          <w:szCs w:val="24"/>
        </w:rPr>
        <w:t>9</w:t>
      </w:r>
      <w:r>
        <w:rPr>
          <w:rFonts w:ascii="Times New Roman" w:hAnsi="Times New Roman" w:hint="eastAsia"/>
          <w:sz w:val="24"/>
          <w:szCs w:val="24"/>
        </w:rPr>
        <w:t>月</w:t>
      </w:r>
      <w:r w:rsidR="00ED2985">
        <w:rPr>
          <w:rFonts w:ascii="Times New Roman" w:hAnsi="Times New Roman"/>
          <w:sz w:val="24"/>
          <w:szCs w:val="24"/>
        </w:rPr>
        <w:t>13</w:t>
      </w:r>
      <w:r>
        <w:rPr>
          <w:rFonts w:ascii="Times New Roman" w:hAnsi="Times New Roman" w:hint="eastAsia"/>
          <w:sz w:val="24"/>
          <w:szCs w:val="24"/>
        </w:rPr>
        <w:t>日，</w:t>
      </w:r>
      <w:r>
        <w:rPr>
          <w:rFonts w:ascii="Times New Roman" w:hAnsi="Times New Roman"/>
          <w:sz w:val="24"/>
          <w:szCs w:val="24"/>
        </w:rPr>
        <w:t>哈富矿</w:t>
      </w:r>
      <w:r>
        <w:rPr>
          <w:rFonts w:ascii="Times New Roman" w:hAnsi="Times New Roman"/>
          <w:kern w:val="0"/>
          <w:sz w:val="24"/>
          <w:szCs w:val="24"/>
        </w:rPr>
        <w:t>业已与公司签订了《</w:t>
      </w:r>
      <w:r>
        <w:rPr>
          <w:rFonts w:ascii="Times New Roman" w:hAnsi="Times New Roman" w:hint="eastAsia"/>
          <w:kern w:val="0"/>
          <w:sz w:val="24"/>
          <w:szCs w:val="24"/>
        </w:rPr>
        <w:t>补充</w:t>
      </w:r>
      <w:r>
        <w:rPr>
          <w:rFonts w:ascii="Times New Roman" w:hAnsi="Times New Roman"/>
          <w:kern w:val="0"/>
          <w:sz w:val="24"/>
          <w:szCs w:val="24"/>
        </w:rPr>
        <w:t>协议</w:t>
      </w:r>
      <w:r w:rsidR="00ED2985">
        <w:rPr>
          <w:rFonts w:ascii="Times New Roman" w:hAnsi="Times New Roman" w:hint="eastAsia"/>
          <w:kern w:val="0"/>
          <w:sz w:val="24"/>
          <w:szCs w:val="24"/>
        </w:rPr>
        <w:t>（二）</w:t>
      </w:r>
      <w:r>
        <w:rPr>
          <w:rFonts w:ascii="Times New Roman" w:hAnsi="Times New Roman"/>
          <w:kern w:val="0"/>
          <w:sz w:val="24"/>
          <w:szCs w:val="24"/>
        </w:rPr>
        <w:t>》。现将</w:t>
      </w:r>
      <w:r>
        <w:rPr>
          <w:rFonts w:ascii="Times New Roman" w:hAnsi="Times New Roman" w:hint="eastAsia"/>
          <w:kern w:val="0"/>
          <w:sz w:val="24"/>
          <w:szCs w:val="24"/>
        </w:rPr>
        <w:t>协议</w:t>
      </w:r>
      <w:r>
        <w:rPr>
          <w:rFonts w:ascii="Times New Roman" w:hAnsi="Times New Roman"/>
          <w:kern w:val="0"/>
          <w:sz w:val="24"/>
          <w:szCs w:val="24"/>
        </w:rPr>
        <w:t>主要内容摘要如下：</w:t>
      </w:r>
    </w:p>
    <w:p w14:paraId="48CEA676" w14:textId="77777777" w:rsidR="00E82A21" w:rsidRDefault="006277F4">
      <w:pPr>
        <w:spacing w:line="360" w:lineRule="auto"/>
        <w:ind w:firstLineChars="200" w:firstLine="482"/>
        <w:outlineLvl w:val="1"/>
        <w:rPr>
          <w:rFonts w:ascii="宋体" w:hAnsi="宋体"/>
          <w:b/>
          <w:bCs/>
          <w:sz w:val="24"/>
          <w:szCs w:val="24"/>
        </w:rPr>
      </w:pPr>
      <w:r>
        <w:rPr>
          <w:rFonts w:ascii="宋体" w:hAnsi="宋体" w:hint="eastAsia"/>
          <w:b/>
          <w:bCs/>
          <w:sz w:val="24"/>
          <w:szCs w:val="24"/>
        </w:rPr>
        <w:t>（一）协议</w:t>
      </w:r>
      <w:r>
        <w:rPr>
          <w:rFonts w:ascii="宋体" w:hAnsi="宋体"/>
          <w:b/>
          <w:bCs/>
          <w:sz w:val="24"/>
          <w:szCs w:val="24"/>
        </w:rPr>
        <w:t>主体和签订时间</w:t>
      </w:r>
    </w:p>
    <w:p w14:paraId="3AD4E6BE" w14:textId="77777777" w:rsidR="00E82A21" w:rsidRDefault="006277F4">
      <w:pPr>
        <w:spacing w:line="360" w:lineRule="auto"/>
        <w:ind w:firstLineChars="200" w:firstLine="480"/>
        <w:rPr>
          <w:rFonts w:ascii="Times New Roman" w:hAnsi="Times New Roman"/>
          <w:sz w:val="24"/>
          <w:szCs w:val="24"/>
        </w:rPr>
      </w:pPr>
      <w:r>
        <w:rPr>
          <w:rFonts w:ascii="Times New Roman" w:hAnsi="Times New Roman"/>
          <w:sz w:val="24"/>
          <w:szCs w:val="24"/>
        </w:rPr>
        <w:t>甲方：</w:t>
      </w:r>
      <w:r>
        <w:rPr>
          <w:rFonts w:ascii="Times New Roman" w:hAnsi="Times New Roman" w:hint="eastAsia"/>
          <w:sz w:val="24"/>
          <w:szCs w:val="24"/>
        </w:rPr>
        <w:t>厦门万里石股份有限公司</w:t>
      </w:r>
    </w:p>
    <w:p w14:paraId="14A4D3C1" w14:textId="77777777" w:rsidR="00E82A21" w:rsidRDefault="006277F4">
      <w:pPr>
        <w:spacing w:line="360" w:lineRule="auto"/>
        <w:ind w:firstLineChars="200" w:firstLine="480"/>
        <w:rPr>
          <w:rFonts w:ascii="Times New Roman" w:hAnsi="Times New Roman"/>
          <w:sz w:val="24"/>
          <w:szCs w:val="24"/>
        </w:rPr>
      </w:pPr>
      <w:r>
        <w:rPr>
          <w:rFonts w:ascii="Times New Roman" w:hAnsi="Times New Roman"/>
          <w:sz w:val="24"/>
          <w:szCs w:val="24"/>
        </w:rPr>
        <w:t>乙方：</w:t>
      </w:r>
      <w:r>
        <w:rPr>
          <w:rFonts w:ascii="Times New Roman" w:hAnsi="Times New Roman" w:hint="eastAsia"/>
          <w:sz w:val="24"/>
          <w:szCs w:val="24"/>
        </w:rPr>
        <w:t>厦门哈富矿业有限公司</w:t>
      </w:r>
    </w:p>
    <w:p w14:paraId="125C4698" w14:textId="0E8936B5" w:rsidR="00E82A21" w:rsidRDefault="006277F4">
      <w:pPr>
        <w:spacing w:line="360" w:lineRule="auto"/>
        <w:ind w:firstLineChars="200" w:firstLine="480"/>
        <w:rPr>
          <w:rFonts w:ascii="Times New Roman" w:hAnsi="Times New Roman"/>
          <w:sz w:val="24"/>
          <w:szCs w:val="24"/>
        </w:rPr>
      </w:pPr>
      <w:r>
        <w:rPr>
          <w:rFonts w:ascii="Times New Roman" w:hAnsi="Times New Roman"/>
          <w:sz w:val="24"/>
          <w:szCs w:val="24"/>
        </w:rPr>
        <w:t>签订时间：</w:t>
      </w:r>
      <w:r>
        <w:rPr>
          <w:rFonts w:ascii="Times New Roman" w:hAnsi="Times New Roman" w:hint="eastAsia"/>
          <w:sz w:val="24"/>
          <w:szCs w:val="24"/>
        </w:rPr>
        <w:t>20</w:t>
      </w:r>
      <w:r>
        <w:rPr>
          <w:rFonts w:ascii="Times New Roman" w:hAnsi="Times New Roman"/>
          <w:sz w:val="24"/>
          <w:szCs w:val="24"/>
        </w:rPr>
        <w:t>22</w:t>
      </w:r>
      <w:r>
        <w:rPr>
          <w:rFonts w:ascii="Times New Roman" w:hAnsi="Times New Roman"/>
          <w:sz w:val="24"/>
          <w:szCs w:val="24"/>
        </w:rPr>
        <w:t>年</w:t>
      </w:r>
      <w:r w:rsidR="00ED2985">
        <w:rPr>
          <w:rFonts w:ascii="Times New Roman" w:hAnsi="Times New Roman"/>
          <w:sz w:val="24"/>
          <w:szCs w:val="24"/>
        </w:rPr>
        <w:t>9</w:t>
      </w:r>
      <w:r>
        <w:rPr>
          <w:rFonts w:ascii="Times New Roman" w:hAnsi="Times New Roman"/>
          <w:sz w:val="24"/>
          <w:szCs w:val="24"/>
        </w:rPr>
        <w:t>月</w:t>
      </w:r>
      <w:r w:rsidR="00ED2985">
        <w:rPr>
          <w:rFonts w:ascii="Times New Roman" w:hAnsi="Times New Roman"/>
          <w:sz w:val="24"/>
          <w:szCs w:val="24"/>
        </w:rPr>
        <w:t>13</w:t>
      </w:r>
      <w:r>
        <w:rPr>
          <w:rFonts w:ascii="Times New Roman" w:hAnsi="Times New Roman"/>
          <w:sz w:val="24"/>
          <w:szCs w:val="24"/>
        </w:rPr>
        <w:t>日</w:t>
      </w:r>
    </w:p>
    <w:p w14:paraId="790CE086" w14:textId="77777777" w:rsidR="00E82A21" w:rsidRDefault="006277F4">
      <w:pPr>
        <w:spacing w:line="360" w:lineRule="auto"/>
        <w:ind w:firstLineChars="200" w:firstLine="482"/>
        <w:outlineLvl w:val="1"/>
        <w:rPr>
          <w:rFonts w:ascii="宋体" w:hAnsi="宋体"/>
          <w:b/>
          <w:bCs/>
          <w:sz w:val="24"/>
          <w:szCs w:val="24"/>
        </w:rPr>
      </w:pPr>
      <w:r>
        <w:rPr>
          <w:rFonts w:ascii="宋体" w:hAnsi="宋体" w:hint="eastAsia"/>
          <w:b/>
          <w:bCs/>
          <w:sz w:val="24"/>
          <w:szCs w:val="24"/>
        </w:rPr>
        <w:t>（二）对原协议的修改</w:t>
      </w:r>
    </w:p>
    <w:p w14:paraId="7E0E746E" w14:textId="39488B19" w:rsidR="00E82A21" w:rsidRDefault="006277F4">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原协议中</w:t>
      </w:r>
      <w:r>
        <w:rPr>
          <w:rFonts w:ascii="Times New Roman" w:hAnsi="Times New Roman" w:hint="eastAsia"/>
          <w:sz w:val="24"/>
          <w:szCs w:val="24"/>
        </w:rPr>
        <w:t>约定的“乙方</w:t>
      </w:r>
      <w:r>
        <w:rPr>
          <w:rFonts w:ascii="Times New Roman" w:hAnsi="Times New Roman"/>
          <w:sz w:val="24"/>
          <w:szCs w:val="24"/>
        </w:rPr>
        <w:t>认购</w:t>
      </w:r>
      <w:r>
        <w:rPr>
          <w:rFonts w:ascii="Times New Roman" w:hAnsi="Times New Roman" w:hint="eastAsia"/>
          <w:sz w:val="24"/>
          <w:szCs w:val="24"/>
        </w:rPr>
        <w:t>甲方本次发行的人民币普通股股票</w:t>
      </w:r>
      <w:r w:rsidR="00ED2985" w:rsidRPr="00ED2985">
        <w:rPr>
          <w:rFonts w:ascii="Times New Roman" w:hAnsi="Times New Roman" w:hint="eastAsia"/>
          <w:sz w:val="24"/>
          <w:szCs w:val="24"/>
        </w:rPr>
        <w:t>28,722,044</w:t>
      </w:r>
      <w:r w:rsidR="00ED2985" w:rsidRPr="00ED2985">
        <w:rPr>
          <w:rFonts w:ascii="Times New Roman" w:hAnsi="Times New Roman" w:hint="eastAsia"/>
          <w:sz w:val="24"/>
          <w:szCs w:val="24"/>
        </w:rPr>
        <w:t>股股（含本数）”修改为“乙方认购甲方本次发行的人民币普通股股票</w:t>
      </w:r>
      <w:r w:rsidR="00ED2985" w:rsidRPr="00ED2985">
        <w:rPr>
          <w:rFonts w:ascii="Times New Roman" w:hAnsi="Times New Roman" w:hint="eastAsia"/>
          <w:sz w:val="24"/>
          <w:szCs w:val="24"/>
        </w:rPr>
        <w:t>25,814,695</w:t>
      </w:r>
      <w:r w:rsidR="00ED2985" w:rsidRPr="00ED2985">
        <w:rPr>
          <w:rFonts w:ascii="Times New Roman" w:hAnsi="Times New Roman" w:hint="eastAsia"/>
          <w:sz w:val="24"/>
          <w:szCs w:val="24"/>
        </w:rPr>
        <w:t>股股（含本数）”</w:t>
      </w:r>
      <w:r>
        <w:rPr>
          <w:rFonts w:ascii="Times New Roman" w:hAnsi="Times New Roman" w:hint="eastAsia"/>
          <w:sz w:val="24"/>
          <w:szCs w:val="24"/>
        </w:rPr>
        <w:t>；</w:t>
      </w:r>
    </w:p>
    <w:p w14:paraId="0B9594A1" w14:textId="32607C18" w:rsidR="00E82A21" w:rsidRDefault="006277F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原协议中</w:t>
      </w:r>
      <w:r>
        <w:rPr>
          <w:rFonts w:ascii="Times New Roman" w:hAnsi="Times New Roman" w:hint="eastAsia"/>
          <w:sz w:val="24"/>
          <w:szCs w:val="24"/>
        </w:rPr>
        <w:t>约定的“本次认购完成后，乙方将因本次发行而持有上市公司股票</w:t>
      </w:r>
      <w:r w:rsidR="00ED2985" w:rsidRPr="00ED2985">
        <w:rPr>
          <w:rFonts w:ascii="Times New Roman" w:hAnsi="Times New Roman" w:hint="eastAsia"/>
          <w:sz w:val="24"/>
          <w:szCs w:val="24"/>
        </w:rPr>
        <w:t>28,722,044</w:t>
      </w:r>
      <w:r w:rsidR="00ED2985" w:rsidRPr="00ED2985">
        <w:rPr>
          <w:rFonts w:ascii="Times New Roman" w:hAnsi="Times New Roman" w:hint="eastAsia"/>
          <w:sz w:val="24"/>
          <w:szCs w:val="24"/>
        </w:rPr>
        <w:t>股（含本数），占届时上市公司总股本的比例为</w:t>
      </w:r>
      <w:r w:rsidR="00ED2985" w:rsidRPr="00ED2985">
        <w:rPr>
          <w:rFonts w:ascii="Times New Roman" w:hAnsi="Times New Roman" w:hint="eastAsia"/>
          <w:sz w:val="24"/>
          <w:szCs w:val="24"/>
        </w:rPr>
        <w:t>12.56%</w:t>
      </w:r>
      <w:r w:rsidR="00ED2985" w:rsidRPr="00ED2985">
        <w:rPr>
          <w:rFonts w:ascii="Times New Roman" w:hAnsi="Times New Roman" w:hint="eastAsia"/>
          <w:sz w:val="24"/>
          <w:szCs w:val="24"/>
        </w:rPr>
        <w:t>”修改为“本次认购完成后，乙方将因本次发行而持有上市公司股票</w:t>
      </w:r>
      <w:r w:rsidR="00ED2985" w:rsidRPr="00ED2985">
        <w:rPr>
          <w:rFonts w:ascii="Times New Roman" w:hAnsi="Times New Roman" w:hint="eastAsia"/>
          <w:sz w:val="24"/>
          <w:szCs w:val="24"/>
        </w:rPr>
        <w:t>25,814,695</w:t>
      </w:r>
      <w:r w:rsidR="00ED2985" w:rsidRPr="00ED2985">
        <w:rPr>
          <w:rFonts w:ascii="Times New Roman" w:hAnsi="Times New Roman" w:hint="eastAsia"/>
          <w:sz w:val="24"/>
          <w:szCs w:val="24"/>
        </w:rPr>
        <w:t>股（含本数），占届时上市公司总股本的比例为</w:t>
      </w:r>
      <w:r w:rsidR="00ED2985" w:rsidRPr="00ED2985">
        <w:rPr>
          <w:rFonts w:ascii="Times New Roman" w:hAnsi="Times New Roman" w:hint="eastAsia"/>
          <w:sz w:val="24"/>
          <w:szCs w:val="24"/>
        </w:rPr>
        <w:t>11.37%</w:t>
      </w:r>
      <w:r w:rsidR="00ED2985" w:rsidRPr="00ED2985">
        <w:rPr>
          <w:rFonts w:ascii="Times New Roman" w:hAnsi="Times New Roman" w:hint="eastAsia"/>
          <w:sz w:val="24"/>
          <w:szCs w:val="24"/>
        </w:rPr>
        <w:t>”</w:t>
      </w:r>
      <w:r>
        <w:rPr>
          <w:rFonts w:ascii="Times New Roman" w:hAnsi="Times New Roman" w:hint="eastAsia"/>
          <w:sz w:val="24"/>
          <w:szCs w:val="24"/>
        </w:rPr>
        <w:t>。</w:t>
      </w:r>
    </w:p>
    <w:p w14:paraId="047390ED" w14:textId="77777777" w:rsidR="00E82A21" w:rsidRDefault="006277F4">
      <w:pPr>
        <w:spacing w:line="360" w:lineRule="auto"/>
        <w:ind w:firstLineChars="200" w:firstLine="482"/>
        <w:outlineLvl w:val="0"/>
        <w:rPr>
          <w:rFonts w:ascii="宋体" w:hAnsi="宋体"/>
          <w:b/>
          <w:bCs/>
          <w:sz w:val="24"/>
          <w:szCs w:val="24"/>
        </w:rPr>
      </w:pPr>
      <w:r>
        <w:rPr>
          <w:rFonts w:ascii="宋体" w:hAnsi="宋体"/>
          <w:b/>
          <w:bCs/>
          <w:sz w:val="24"/>
          <w:szCs w:val="24"/>
        </w:rPr>
        <w:t xml:space="preserve">五、关联交易定价政策及定价依据 </w:t>
      </w:r>
    </w:p>
    <w:p w14:paraId="608B7C8F" w14:textId="77777777" w:rsidR="00E82A21" w:rsidRDefault="006277F4">
      <w:pPr>
        <w:spacing w:line="360" w:lineRule="auto"/>
        <w:ind w:firstLineChars="200" w:firstLine="480"/>
        <w:rPr>
          <w:rFonts w:ascii="宋体" w:hAnsi="宋体"/>
          <w:sz w:val="24"/>
          <w:szCs w:val="24"/>
        </w:rPr>
      </w:pPr>
      <w:r>
        <w:rPr>
          <w:rFonts w:ascii="宋体" w:hAnsi="宋体"/>
          <w:sz w:val="24"/>
          <w:szCs w:val="24"/>
        </w:rPr>
        <w:t>本次发行股票的价格为</w:t>
      </w:r>
      <w:r>
        <w:rPr>
          <w:rFonts w:ascii="宋体" w:hAnsi="宋体" w:hint="eastAsia"/>
          <w:sz w:val="24"/>
          <w:szCs w:val="24"/>
        </w:rPr>
        <w:t>1</w:t>
      </w:r>
      <w:r>
        <w:rPr>
          <w:rFonts w:ascii="宋体" w:hAnsi="宋体"/>
          <w:sz w:val="24"/>
          <w:szCs w:val="24"/>
        </w:rPr>
        <w:t>5.65元/股。本次发行的定价基准日为</w:t>
      </w:r>
      <w:r>
        <w:rPr>
          <w:rFonts w:ascii="宋体" w:hAnsi="宋体" w:hint="eastAsia"/>
          <w:sz w:val="24"/>
          <w:szCs w:val="24"/>
        </w:rPr>
        <w:t>公司</w:t>
      </w:r>
      <w:r>
        <w:rPr>
          <w:rFonts w:ascii="宋体" w:hAnsi="宋体"/>
          <w:sz w:val="24"/>
          <w:szCs w:val="24"/>
        </w:rPr>
        <w:t>第</w:t>
      </w:r>
      <w:r>
        <w:rPr>
          <w:rFonts w:ascii="宋体" w:hAnsi="宋体" w:hint="eastAsia"/>
          <w:sz w:val="24"/>
          <w:szCs w:val="24"/>
        </w:rPr>
        <w:t>四</w:t>
      </w:r>
      <w:r>
        <w:rPr>
          <w:rFonts w:ascii="宋体" w:hAnsi="宋体"/>
          <w:sz w:val="24"/>
          <w:szCs w:val="24"/>
        </w:rPr>
        <w:t>届董事会第</w:t>
      </w:r>
      <w:r>
        <w:rPr>
          <w:rFonts w:ascii="宋体" w:hAnsi="宋体" w:hint="eastAsia"/>
          <w:sz w:val="24"/>
          <w:szCs w:val="24"/>
        </w:rPr>
        <w:t>二十一</w:t>
      </w:r>
      <w:r>
        <w:rPr>
          <w:rFonts w:ascii="宋体" w:hAnsi="宋体"/>
          <w:sz w:val="24"/>
          <w:szCs w:val="24"/>
        </w:rPr>
        <w:t>次会议决议公告日，发行价格</w:t>
      </w:r>
      <w:r>
        <w:rPr>
          <w:rFonts w:ascii="宋体" w:hAnsi="宋体" w:hint="eastAsia"/>
          <w:sz w:val="24"/>
          <w:szCs w:val="24"/>
        </w:rPr>
        <w:t>不低于</w:t>
      </w:r>
      <w:r>
        <w:rPr>
          <w:rFonts w:ascii="宋体" w:hAnsi="宋体"/>
          <w:sz w:val="24"/>
          <w:szCs w:val="24"/>
        </w:rPr>
        <w:t>定价基准日前</w:t>
      </w:r>
      <w:r>
        <w:rPr>
          <w:rFonts w:ascii="宋体" w:hAnsi="宋体" w:hint="eastAsia"/>
          <w:sz w:val="24"/>
          <w:szCs w:val="24"/>
        </w:rPr>
        <w:t>20</w:t>
      </w:r>
      <w:r>
        <w:rPr>
          <w:rFonts w:ascii="宋体" w:hAnsi="宋体"/>
          <w:sz w:val="24"/>
          <w:szCs w:val="24"/>
        </w:rPr>
        <w:t>个交易日</w:t>
      </w:r>
      <w:r>
        <w:rPr>
          <w:rFonts w:ascii="宋体" w:hAnsi="宋体" w:hint="eastAsia"/>
          <w:sz w:val="24"/>
          <w:szCs w:val="24"/>
        </w:rPr>
        <w:lastRenderedPageBreak/>
        <w:t>公司</w:t>
      </w:r>
      <w:r>
        <w:rPr>
          <w:rFonts w:ascii="宋体" w:hAnsi="宋体"/>
          <w:sz w:val="24"/>
          <w:szCs w:val="24"/>
        </w:rPr>
        <w:t>股票交易均价（定价基准日前20个交易日公司股票交易均价=定价基准日前20个交易日股票交易总额/定价基准日前20个交易日</w:t>
      </w:r>
      <w:r>
        <w:rPr>
          <w:rFonts w:ascii="宋体" w:hAnsi="宋体" w:hint="eastAsia"/>
          <w:sz w:val="24"/>
          <w:szCs w:val="24"/>
        </w:rPr>
        <w:t>公司</w:t>
      </w:r>
      <w:r>
        <w:rPr>
          <w:rFonts w:ascii="宋体" w:hAnsi="宋体"/>
          <w:sz w:val="24"/>
          <w:szCs w:val="24"/>
        </w:rPr>
        <w:t>股票交易总量）的80%。</w:t>
      </w:r>
    </w:p>
    <w:p w14:paraId="62365715" w14:textId="77777777" w:rsidR="00E82A21" w:rsidRDefault="006277F4">
      <w:pPr>
        <w:spacing w:line="360" w:lineRule="auto"/>
        <w:ind w:firstLineChars="200" w:firstLine="480"/>
        <w:rPr>
          <w:rFonts w:ascii="宋体" w:hAnsi="宋体"/>
          <w:sz w:val="24"/>
          <w:szCs w:val="24"/>
        </w:rPr>
      </w:pPr>
      <w:r>
        <w:rPr>
          <w:rFonts w:ascii="宋体" w:hAnsi="宋体"/>
          <w:sz w:val="24"/>
          <w:szCs w:val="24"/>
        </w:rPr>
        <w:t>如公司股票在本次发行定价基准日至发行日期间发生分红派息、送股、资本公积转增股本等除权、除息事项，发行</w:t>
      </w:r>
      <w:r>
        <w:rPr>
          <w:rFonts w:ascii="宋体" w:hAnsi="宋体" w:hint="eastAsia"/>
          <w:sz w:val="24"/>
          <w:szCs w:val="24"/>
        </w:rPr>
        <w:t>价格</w:t>
      </w:r>
      <w:r>
        <w:rPr>
          <w:rFonts w:ascii="宋体" w:hAnsi="宋体"/>
          <w:sz w:val="24"/>
          <w:szCs w:val="24"/>
        </w:rPr>
        <w:t>将</w:t>
      </w:r>
      <w:proofErr w:type="gramStart"/>
      <w:r>
        <w:rPr>
          <w:rFonts w:ascii="宋体" w:hAnsi="宋体"/>
          <w:sz w:val="24"/>
          <w:szCs w:val="24"/>
        </w:rPr>
        <w:t>作出</w:t>
      </w:r>
      <w:proofErr w:type="gramEnd"/>
      <w:r>
        <w:rPr>
          <w:rFonts w:ascii="宋体" w:hAnsi="宋体"/>
          <w:sz w:val="24"/>
          <w:szCs w:val="24"/>
        </w:rPr>
        <w:t>相应调整。</w:t>
      </w:r>
    </w:p>
    <w:p w14:paraId="59B7B85D" w14:textId="77777777" w:rsidR="00E82A21" w:rsidRDefault="006277F4">
      <w:pPr>
        <w:spacing w:line="360" w:lineRule="auto"/>
        <w:ind w:firstLineChars="200" w:firstLine="480"/>
        <w:rPr>
          <w:rFonts w:ascii="宋体" w:hAnsi="宋体"/>
          <w:sz w:val="24"/>
          <w:szCs w:val="24"/>
        </w:rPr>
      </w:pPr>
      <w:r>
        <w:rPr>
          <w:rFonts w:ascii="宋体" w:hAnsi="宋体"/>
          <w:sz w:val="24"/>
          <w:szCs w:val="24"/>
        </w:rPr>
        <w:t>本次非公开发行股票的定价原则符合《公司法》、《证券法》、《上市公司证券发行管理办法》和《上市公司非公开发行股票实施细则》等法律法规的相关规定。上述发行价格定价方式作为本次非公开发行股票方案的主要内容，已经公司第</w:t>
      </w:r>
      <w:r>
        <w:rPr>
          <w:rFonts w:ascii="宋体" w:hAnsi="宋体" w:hint="eastAsia"/>
          <w:sz w:val="24"/>
          <w:szCs w:val="24"/>
        </w:rPr>
        <w:t>四</w:t>
      </w:r>
      <w:r>
        <w:rPr>
          <w:rFonts w:ascii="宋体" w:hAnsi="宋体"/>
          <w:sz w:val="24"/>
          <w:szCs w:val="24"/>
        </w:rPr>
        <w:t>届董事会第</w:t>
      </w:r>
      <w:r>
        <w:rPr>
          <w:rFonts w:ascii="宋体" w:hAnsi="宋体" w:hint="eastAsia"/>
          <w:sz w:val="24"/>
          <w:szCs w:val="24"/>
        </w:rPr>
        <w:t>二十一</w:t>
      </w:r>
      <w:r>
        <w:rPr>
          <w:rFonts w:ascii="宋体" w:hAnsi="宋体"/>
          <w:sz w:val="24"/>
          <w:szCs w:val="24"/>
        </w:rPr>
        <w:t>次会议审议通过，程序合法、合</w:t>
      </w:r>
      <w:proofErr w:type="gramStart"/>
      <w:r>
        <w:rPr>
          <w:rFonts w:ascii="宋体" w:hAnsi="宋体"/>
          <w:sz w:val="24"/>
          <w:szCs w:val="24"/>
        </w:rPr>
        <w:t>规</w:t>
      </w:r>
      <w:proofErr w:type="gramEnd"/>
      <w:r>
        <w:rPr>
          <w:rFonts w:ascii="宋体" w:hAnsi="宋体" w:hint="eastAsia"/>
          <w:sz w:val="24"/>
          <w:szCs w:val="24"/>
        </w:rPr>
        <w:t>，</w:t>
      </w:r>
      <w:r>
        <w:rPr>
          <w:rFonts w:ascii="宋体" w:hAnsi="宋体"/>
          <w:sz w:val="24"/>
          <w:szCs w:val="24"/>
        </w:rPr>
        <w:t>定价原则客观、公允，符合公司和全体股东的利益，不存在损害公司及其股东特别是中小股东利益的情形。</w:t>
      </w:r>
    </w:p>
    <w:p w14:paraId="7828ABA9" w14:textId="77777777" w:rsidR="00E82A21" w:rsidRDefault="006277F4">
      <w:pPr>
        <w:spacing w:line="360" w:lineRule="auto"/>
        <w:ind w:firstLineChars="200" w:firstLine="482"/>
        <w:outlineLvl w:val="0"/>
        <w:rPr>
          <w:rFonts w:ascii="宋体" w:hAnsi="宋体"/>
          <w:b/>
          <w:bCs/>
          <w:sz w:val="24"/>
          <w:szCs w:val="24"/>
        </w:rPr>
      </w:pPr>
      <w:r>
        <w:rPr>
          <w:rFonts w:ascii="宋体" w:hAnsi="宋体"/>
          <w:b/>
          <w:bCs/>
          <w:sz w:val="24"/>
          <w:szCs w:val="24"/>
        </w:rPr>
        <w:t>六、</w:t>
      </w:r>
      <w:r>
        <w:rPr>
          <w:rFonts w:ascii="宋体" w:hAnsi="宋体" w:hint="eastAsia"/>
          <w:b/>
          <w:bCs/>
          <w:sz w:val="24"/>
          <w:szCs w:val="24"/>
        </w:rPr>
        <w:t>本次关联交易的审批程序</w:t>
      </w:r>
    </w:p>
    <w:p w14:paraId="4B4E7778" w14:textId="77777777" w:rsidR="00E82A21" w:rsidRDefault="006277F4">
      <w:pPr>
        <w:spacing w:line="360" w:lineRule="auto"/>
        <w:ind w:firstLineChars="200" w:firstLine="482"/>
        <w:outlineLvl w:val="1"/>
        <w:rPr>
          <w:rFonts w:ascii="宋体" w:hAnsi="宋体"/>
          <w:b/>
          <w:bCs/>
          <w:sz w:val="24"/>
          <w:szCs w:val="24"/>
        </w:rPr>
      </w:pPr>
      <w:r>
        <w:rPr>
          <w:rFonts w:ascii="宋体" w:hAnsi="宋体"/>
          <w:b/>
          <w:bCs/>
          <w:sz w:val="24"/>
          <w:szCs w:val="24"/>
        </w:rPr>
        <w:t>（一）</w:t>
      </w:r>
      <w:r>
        <w:rPr>
          <w:rFonts w:ascii="宋体" w:hAnsi="宋体" w:hint="eastAsia"/>
          <w:b/>
          <w:bCs/>
          <w:sz w:val="24"/>
          <w:szCs w:val="24"/>
        </w:rPr>
        <w:t>董事会审议情况</w:t>
      </w:r>
    </w:p>
    <w:p w14:paraId="1C4A00DA" w14:textId="731FAFC8" w:rsidR="00E82A21" w:rsidRDefault="006277F4">
      <w:pPr>
        <w:spacing w:line="360" w:lineRule="auto"/>
        <w:ind w:firstLineChars="200" w:firstLine="480"/>
        <w:rPr>
          <w:rFonts w:ascii="宋体" w:hAnsi="宋体"/>
          <w:sz w:val="24"/>
          <w:szCs w:val="24"/>
        </w:rPr>
      </w:pPr>
      <w:r>
        <w:rPr>
          <w:rFonts w:ascii="宋体" w:hAnsi="宋体" w:hint="eastAsia"/>
          <w:sz w:val="24"/>
          <w:szCs w:val="24"/>
        </w:rPr>
        <w:t>2022年</w:t>
      </w:r>
      <w:r w:rsidR="00ED2985">
        <w:rPr>
          <w:rFonts w:ascii="宋体" w:hAnsi="宋体"/>
          <w:sz w:val="24"/>
          <w:szCs w:val="24"/>
        </w:rPr>
        <w:t>9</w:t>
      </w:r>
      <w:r>
        <w:rPr>
          <w:rFonts w:ascii="宋体" w:hAnsi="宋体" w:hint="eastAsia"/>
          <w:sz w:val="24"/>
          <w:szCs w:val="24"/>
        </w:rPr>
        <w:t>月</w:t>
      </w:r>
      <w:r w:rsidR="00ED2985">
        <w:rPr>
          <w:rFonts w:ascii="宋体" w:hAnsi="宋体"/>
          <w:sz w:val="24"/>
          <w:szCs w:val="24"/>
        </w:rPr>
        <w:t>13</w:t>
      </w:r>
      <w:r>
        <w:rPr>
          <w:rFonts w:ascii="宋体" w:hAnsi="宋体" w:hint="eastAsia"/>
          <w:sz w:val="24"/>
          <w:szCs w:val="24"/>
        </w:rPr>
        <w:t>日，公司召开第四届董事会第</w:t>
      </w:r>
      <w:r w:rsidR="00ED2985">
        <w:rPr>
          <w:rFonts w:ascii="宋体" w:hAnsi="宋体" w:hint="eastAsia"/>
          <w:sz w:val="24"/>
          <w:szCs w:val="24"/>
        </w:rPr>
        <w:t>三十四</w:t>
      </w:r>
      <w:r>
        <w:rPr>
          <w:rFonts w:ascii="宋体" w:hAnsi="宋体" w:hint="eastAsia"/>
          <w:sz w:val="24"/>
          <w:szCs w:val="24"/>
        </w:rPr>
        <w:t>次会议审议通过了《关于公司与特定对象签署&lt;</w:t>
      </w:r>
      <w:r>
        <w:rPr>
          <w:rFonts w:ascii="宋体" w:hAnsi="宋体"/>
          <w:sz w:val="24"/>
          <w:szCs w:val="24"/>
        </w:rPr>
        <w:t>关于</w:t>
      </w:r>
      <w:r>
        <w:rPr>
          <w:rFonts w:ascii="宋体" w:hAnsi="宋体" w:hint="eastAsia"/>
          <w:sz w:val="24"/>
          <w:szCs w:val="24"/>
        </w:rPr>
        <w:t>厦门万里石股份有限公司</w:t>
      </w:r>
      <w:r>
        <w:rPr>
          <w:rFonts w:ascii="宋体" w:hAnsi="宋体"/>
          <w:sz w:val="24"/>
          <w:szCs w:val="24"/>
        </w:rPr>
        <w:t>非公开发行股票之附条件生效的股票认购协议</w:t>
      </w:r>
      <w:r>
        <w:rPr>
          <w:rFonts w:ascii="宋体" w:hAnsi="宋体" w:hint="eastAsia"/>
          <w:sz w:val="24"/>
          <w:szCs w:val="24"/>
        </w:rPr>
        <w:t>之</w:t>
      </w:r>
      <w:r>
        <w:rPr>
          <w:rFonts w:ascii="宋体" w:hAnsi="宋体"/>
          <w:sz w:val="24"/>
          <w:szCs w:val="24"/>
        </w:rPr>
        <w:t>补充协议</w:t>
      </w:r>
      <w:r w:rsidR="00ED2985">
        <w:rPr>
          <w:rFonts w:ascii="宋体" w:hAnsi="宋体" w:hint="eastAsia"/>
          <w:sz w:val="24"/>
          <w:szCs w:val="24"/>
        </w:rPr>
        <w:t>（二）</w:t>
      </w:r>
      <w:r>
        <w:rPr>
          <w:rFonts w:ascii="宋体" w:hAnsi="宋体" w:hint="eastAsia"/>
          <w:sz w:val="24"/>
          <w:szCs w:val="24"/>
        </w:rPr>
        <w:t>&gt;暨关联交易的议案》。</w:t>
      </w:r>
    </w:p>
    <w:p w14:paraId="5E0F5EE5" w14:textId="77777777" w:rsidR="00E82A21" w:rsidRDefault="006277F4">
      <w:pPr>
        <w:spacing w:line="360" w:lineRule="auto"/>
        <w:ind w:firstLineChars="200" w:firstLine="482"/>
        <w:outlineLvl w:val="1"/>
        <w:rPr>
          <w:rFonts w:ascii="宋体" w:hAnsi="宋体"/>
          <w:b/>
          <w:bCs/>
          <w:sz w:val="24"/>
          <w:szCs w:val="24"/>
        </w:rPr>
      </w:pPr>
      <w:r>
        <w:rPr>
          <w:rFonts w:ascii="宋体" w:hAnsi="宋体" w:hint="eastAsia"/>
          <w:b/>
          <w:bCs/>
          <w:sz w:val="24"/>
          <w:szCs w:val="24"/>
        </w:rPr>
        <w:t>（二）</w:t>
      </w:r>
      <w:r>
        <w:rPr>
          <w:rFonts w:ascii="宋体" w:hAnsi="宋体"/>
          <w:b/>
          <w:bCs/>
          <w:sz w:val="24"/>
          <w:szCs w:val="24"/>
        </w:rPr>
        <w:t>独立董事</w:t>
      </w:r>
      <w:r>
        <w:rPr>
          <w:rFonts w:ascii="宋体" w:hAnsi="宋体" w:hint="eastAsia"/>
          <w:b/>
          <w:bCs/>
          <w:sz w:val="24"/>
          <w:szCs w:val="24"/>
        </w:rPr>
        <w:t>的</w:t>
      </w:r>
      <w:r>
        <w:rPr>
          <w:rFonts w:ascii="宋体" w:hAnsi="宋体"/>
          <w:b/>
          <w:bCs/>
          <w:sz w:val="24"/>
          <w:szCs w:val="24"/>
        </w:rPr>
        <w:t>事前认可意见及独立意见</w:t>
      </w:r>
    </w:p>
    <w:p w14:paraId="0EB85DC6" w14:textId="77777777" w:rsidR="00E82A21" w:rsidRDefault="006277F4">
      <w:pPr>
        <w:spacing w:line="360" w:lineRule="auto"/>
        <w:ind w:firstLineChars="200" w:firstLine="482"/>
        <w:rPr>
          <w:rFonts w:ascii="宋体" w:hAnsi="宋体"/>
          <w:b/>
          <w:sz w:val="24"/>
          <w:szCs w:val="24"/>
        </w:rPr>
      </w:pPr>
      <w:r>
        <w:rPr>
          <w:rFonts w:ascii="宋体" w:hAnsi="宋体" w:hint="eastAsia"/>
          <w:b/>
          <w:sz w:val="24"/>
          <w:szCs w:val="24"/>
        </w:rPr>
        <w:t>1、独立</w:t>
      </w:r>
      <w:r>
        <w:rPr>
          <w:rFonts w:ascii="宋体" w:hAnsi="宋体"/>
          <w:b/>
          <w:sz w:val="24"/>
          <w:szCs w:val="24"/>
        </w:rPr>
        <w:t>董事事前认可意见</w:t>
      </w:r>
    </w:p>
    <w:p w14:paraId="51F21B98" w14:textId="77777777" w:rsidR="00E82A21" w:rsidRDefault="006277F4">
      <w:pPr>
        <w:spacing w:line="360" w:lineRule="auto"/>
        <w:ind w:firstLineChars="200" w:firstLine="480"/>
        <w:rPr>
          <w:rFonts w:ascii="宋体" w:hAnsi="宋体"/>
          <w:sz w:val="24"/>
          <w:szCs w:val="24"/>
        </w:rPr>
      </w:pPr>
      <w:r>
        <w:rPr>
          <w:rFonts w:ascii="宋体" w:hAnsi="宋体" w:hint="eastAsia"/>
          <w:sz w:val="24"/>
          <w:szCs w:val="24"/>
        </w:rPr>
        <w:t>公司对2021年度非公开发行A股</w:t>
      </w:r>
      <w:r>
        <w:rPr>
          <w:rFonts w:ascii="宋体" w:hAnsi="宋体"/>
          <w:sz w:val="24"/>
          <w:szCs w:val="24"/>
        </w:rPr>
        <w:t>股票</w:t>
      </w:r>
      <w:r>
        <w:rPr>
          <w:rFonts w:ascii="宋体" w:hAnsi="宋体" w:hint="eastAsia"/>
          <w:sz w:val="24"/>
          <w:szCs w:val="24"/>
        </w:rPr>
        <w:t>募集资金总额及发行股票数量进行了调整，调整后的方案符合《公司法》《证券法》</w:t>
      </w:r>
      <w:r>
        <w:rPr>
          <w:rFonts w:ascii="宋体" w:hAnsi="宋体"/>
          <w:sz w:val="24"/>
          <w:szCs w:val="24"/>
        </w:rPr>
        <w:t>《深圳证券交易所股票上市规则（2022</w:t>
      </w:r>
      <w:r>
        <w:rPr>
          <w:rFonts w:ascii="宋体" w:hAnsi="宋体" w:hint="eastAsia"/>
          <w:sz w:val="24"/>
          <w:szCs w:val="24"/>
        </w:rPr>
        <w:t>年</w:t>
      </w:r>
      <w:r>
        <w:rPr>
          <w:rFonts w:ascii="宋体" w:hAnsi="宋体"/>
          <w:sz w:val="24"/>
          <w:szCs w:val="24"/>
        </w:rPr>
        <w:t>修订）》</w:t>
      </w:r>
      <w:r>
        <w:rPr>
          <w:rFonts w:ascii="宋体" w:hAnsi="宋体" w:hint="eastAsia"/>
          <w:sz w:val="24"/>
          <w:szCs w:val="24"/>
        </w:rPr>
        <w:t>等法律、法规的相关规定。</w:t>
      </w:r>
    </w:p>
    <w:p w14:paraId="50196591" w14:textId="77777777" w:rsidR="00E82A21" w:rsidRDefault="006277F4">
      <w:pPr>
        <w:spacing w:line="360" w:lineRule="auto"/>
        <w:ind w:firstLineChars="200" w:firstLine="480"/>
        <w:rPr>
          <w:rFonts w:ascii="宋体" w:hAnsi="宋体"/>
          <w:sz w:val="24"/>
          <w:szCs w:val="24"/>
        </w:rPr>
      </w:pPr>
      <w:r>
        <w:rPr>
          <w:rFonts w:ascii="宋体" w:hAnsi="宋体" w:hint="eastAsia"/>
          <w:sz w:val="24"/>
          <w:szCs w:val="24"/>
        </w:rPr>
        <w:t>我们认为，公司本次非公开发行股票涉及的关联交易事项公开、公平、合理，包括定价方式在内的交易安排符合《公司法》《证券法》</w:t>
      </w:r>
      <w:r>
        <w:rPr>
          <w:rFonts w:ascii="宋体" w:hAnsi="宋体"/>
          <w:sz w:val="24"/>
          <w:szCs w:val="24"/>
        </w:rPr>
        <w:t>《深圳证券交易所股票上市规则（2022</w:t>
      </w:r>
      <w:r>
        <w:rPr>
          <w:rFonts w:ascii="宋体" w:hAnsi="宋体" w:hint="eastAsia"/>
          <w:sz w:val="24"/>
          <w:szCs w:val="24"/>
        </w:rPr>
        <w:t>年</w:t>
      </w:r>
      <w:r>
        <w:rPr>
          <w:rFonts w:ascii="宋体" w:hAnsi="宋体"/>
          <w:sz w:val="24"/>
          <w:szCs w:val="24"/>
        </w:rPr>
        <w:t>修订）》</w:t>
      </w:r>
      <w:r>
        <w:rPr>
          <w:rFonts w:ascii="宋体" w:hAnsi="宋体" w:hint="eastAsia"/>
          <w:sz w:val="24"/>
          <w:szCs w:val="24"/>
        </w:rPr>
        <w:t>等相关规定，符合公司和全体股东的利益，不存在损害公司及全体股东特别是中小股东利益的情形。</w:t>
      </w:r>
    </w:p>
    <w:p w14:paraId="795A5339" w14:textId="0641517D" w:rsidR="00E82A21" w:rsidRDefault="006277F4">
      <w:pPr>
        <w:spacing w:line="360" w:lineRule="auto"/>
        <w:ind w:firstLineChars="200" w:firstLine="480"/>
        <w:rPr>
          <w:rFonts w:ascii="宋体" w:hAnsi="宋体"/>
          <w:sz w:val="24"/>
          <w:szCs w:val="24"/>
        </w:rPr>
      </w:pPr>
      <w:r>
        <w:rPr>
          <w:rFonts w:ascii="宋体" w:hAnsi="宋体" w:hint="eastAsia"/>
          <w:sz w:val="24"/>
          <w:szCs w:val="24"/>
        </w:rPr>
        <w:t>综上，我们一致同意将《关于调整公司&lt;2021年度非公开发行A股股票方案&gt;的议案》、《关于修订公司&lt;2021年度非公开发行A股股票预案&gt;的议案》、《关于修订公司&lt;2021年度非公开发行A股股票募集资金使用可行性分析报告&gt;的议案》、《关于修订公司&lt;</w:t>
      </w:r>
      <w:r>
        <w:rPr>
          <w:rFonts w:ascii="宋体" w:hAnsi="宋体"/>
          <w:sz w:val="24"/>
          <w:szCs w:val="24"/>
        </w:rPr>
        <w:t>2021</w:t>
      </w:r>
      <w:r>
        <w:rPr>
          <w:rFonts w:ascii="宋体" w:hAnsi="宋体" w:hint="eastAsia"/>
          <w:sz w:val="24"/>
          <w:szCs w:val="24"/>
        </w:rPr>
        <w:t>年度非公开发行股票摊薄即期回报、填补措施及相关承诺&gt;的议案》、《关于公司与特定对象签署&lt;</w:t>
      </w:r>
      <w:r>
        <w:rPr>
          <w:rFonts w:ascii="宋体" w:hAnsi="宋体"/>
          <w:sz w:val="24"/>
          <w:szCs w:val="24"/>
        </w:rPr>
        <w:t>关于</w:t>
      </w:r>
      <w:r>
        <w:rPr>
          <w:rFonts w:ascii="宋体" w:hAnsi="宋体" w:hint="eastAsia"/>
          <w:sz w:val="24"/>
          <w:szCs w:val="24"/>
        </w:rPr>
        <w:t>厦门万里石股份有限公司</w:t>
      </w:r>
      <w:r>
        <w:rPr>
          <w:rFonts w:ascii="宋体" w:hAnsi="宋体"/>
          <w:sz w:val="24"/>
          <w:szCs w:val="24"/>
        </w:rPr>
        <w:t>非公开发行股票之附条件生效的股票认购协议</w:t>
      </w:r>
      <w:r>
        <w:rPr>
          <w:rFonts w:ascii="宋体" w:hAnsi="宋体" w:hint="eastAsia"/>
          <w:sz w:val="24"/>
          <w:szCs w:val="24"/>
        </w:rPr>
        <w:t>之</w:t>
      </w:r>
      <w:r>
        <w:rPr>
          <w:rFonts w:ascii="宋体" w:hAnsi="宋体"/>
          <w:sz w:val="24"/>
          <w:szCs w:val="24"/>
        </w:rPr>
        <w:t>补充协议</w:t>
      </w:r>
      <w:r w:rsidR="00557445">
        <w:rPr>
          <w:rFonts w:ascii="宋体" w:hAnsi="宋体" w:hint="eastAsia"/>
          <w:sz w:val="24"/>
          <w:szCs w:val="24"/>
        </w:rPr>
        <w:t>（二）</w:t>
      </w:r>
      <w:r>
        <w:rPr>
          <w:rFonts w:ascii="宋体" w:hAnsi="宋体" w:hint="eastAsia"/>
          <w:sz w:val="24"/>
          <w:szCs w:val="24"/>
        </w:rPr>
        <w:t>&gt;暨关联交易的议案》提交</w:t>
      </w:r>
      <w:r>
        <w:rPr>
          <w:rFonts w:ascii="宋体" w:hAnsi="宋体" w:hint="eastAsia"/>
          <w:sz w:val="24"/>
          <w:szCs w:val="24"/>
        </w:rPr>
        <w:lastRenderedPageBreak/>
        <w:t>公司第四届董事会第</w:t>
      </w:r>
      <w:r w:rsidR="00557445">
        <w:rPr>
          <w:rFonts w:ascii="宋体" w:hAnsi="宋体" w:hint="eastAsia"/>
          <w:sz w:val="24"/>
          <w:szCs w:val="24"/>
        </w:rPr>
        <w:t>三十四</w:t>
      </w:r>
      <w:r>
        <w:rPr>
          <w:rFonts w:ascii="宋体" w:hAnsi="宋体" w:hint="eastAsia"/>
          <w:sz w:val="24"/>
          <w:szCs w:val="24"/>
        </w:rPr>
        <w:t>次会议审议。</w:t>
      </w:r>
    </w:p>
    <w:p w14:paraId="1937B2F6" w14:textId="77777777" w:rsidR="00E82A21" w:rsidRDefault="006277F4">
      <w:pPr>
        <w:spacing w:line="360" w:lineRule="auto"/>
        <w:ind w:firstLineChars="200" w:firstLine="482"/>
        <w:rPr>
          <w:rFonts w:ascii="宋体" w:hAnsi="宋体"/>
          <w:b/>
          <w:sz w:val="24"/>
          <w:szCs w:val="24"/>
        </w:rPr>
      </w:pPr>
      <w:r>
        <w:rPr>
          <w:rFonts w:ascii="宋体" w:hAnsi="宋体" w:hint="eastAsia"/>
          <w:b/>
          <w:sz w:val="24"/>
          <w:szCs w:val="24"/>
        </w:rPr>
        <w:t>2、独立董事</w:t>
      </w:r>
      <w:r>
        <w:rPr>
          <w:rFonts w:ascii="宋体" w:hAnsi="宋体"/>
          <w:b/>
          <w:sz w:val="24"/>
          <w:szCs w:val="24"/>
        </w:rPr>
        <w:t>意见</w:t>
      </w:r>
    </w:p>
    <w:p w14:paraId="08D94796" w14:textId="1A533B6F" w:rsidR="00E82A21" w:rsidRDefault="006277F4">
      <w:pPr>
        <w:spacing w:line="360" w:lineRule="auto"/>
        <w:ind w:firstLineChars="200" w:firstLine="480"/>
        <w:rPr>
          <w:rFonts w:ascii="宋体" w:hAnsi="宋体"/>
          <w:sz w:val="24"/>
          <w:szCs w:val="24"/>
        </w:rPr>
      </w:pPr>
      <w:r>
        <w:rPr>
          <w:rFonts w:ascii="宋体" w:hAnsi="宋体" w:hint="eastAsia"/>
          <w:sz w:val="24"/>
          <w:szCs w:val="24"/>
        </w:rPr>
        <w:t>哈富矿业</w:t>
      </w:r>
      <w:r>
        <w:rPr>
          <w:rFonts w:ascii="宋体" w:hAnsi="宋体"/>
          <w:sz w:val="24"/>
          <w:szCs w:val="24"/>
        </w:rPr>
        <w:t>作</w:t>
      </w:r>
      <w:r>
        <w:rPr>
          <w:rFonts w:ascii="宋体" w:hAnsi="宋体" w:hint="eastAsia"/>
          <w:sz w:val="24"/>
          <w:szCs w:val="24"/>
        </w:rPr>
        <w:t>为本次非公开发行股票的发行对象，与公司签署了</w:t>
      </w:r>
      <w:r>
        <w:rPr>
          <w:rFonts w:ascii="宋体" w:hAnsi="宋体"/>
          <w:sz w:val="24"/>
          <w:szCs w:val="24"/>
        </w:rPr>
        <w:t>《股票认购协议》</w:t>
      </w:r>
      <w:r w:rsidR="00557445">
        <w:rPr>
          <w:rFonts w:ascii="宋体" w:hAnsi="宋体" w:hint="eastAsia"/>
          <w:sz w:val="24"/>
          <w:szCs w:val="24"/>
        </w:rPr>
        <w:t>及《补充协议》</w:t>
      </w:r>
      <w:r>
        <w:rPr>
          <w:rFonts w:ascii="宋体" w:hAnsi="宋体" w:hint="eastAsia"/>
          <w:sz w:val="24"/>
          <w:szCs w:val="24"/>
        </w:rPr>
        <w:t>。鉴于公司对本次非公开发行募集资金总额及发行股票数量进行了调整，公司与哈富矿</w:t>
      </w:r>
      <w:proofErr w:type="gramStart"/>
      <w:r>
        <w:rPr>
          <w:rFonts w:ascii="宋体" w:hAnsi="宋体" w:hint="eastAsia"/>
          <w:sz w:val="24"/>
          <w:szCs w:val="24"/>
        </w:rPr>
        <w:t>业签署</w:t>
      </w:r>
      <w:proofErr w:type="gramEnd"/>
      <w:r>
        <w:rPr>
          <w:rFonts w:ascii="宋体" w:hAnsi="宋体" w:hint="eastAsia"/>
          <w:sz w:val="24"/>
          <w:szCs w:val="24"/>
        </w:rPr>
        <w:t>《补充协议</w:t>
      </w:r>
      <w:r w:rsidR="00557445">
        <w:rPr>
          <w:rFonts w:ascii="宋体" w:hAnsi="宋体" w:hint="eastAsia"/>
          <w:sz w:val="24"/>
          <w:szCs w:val="24"/>
        </w:rPr>
        <w:t>（二）</w:t>
      </w:r>
      <w:r>
        <w:rPr>
          <w:rFonts w:ascii="宋体" w:hAnsi="宋体" w:hint="eastAsia"/>
          <w:sz w:val="24"/>
          <w:szCs w:val="24"/>
        </w:rPr>
        <w:t>》。目前哈富矿业的</w:t>
      </w:r>
      <w:r>
        <w:rPr>
          <w:rFonts w:ascii="宋体" w:hAnsi="宋体"/>
          <w:sz w:val="24"/>
          <w:szCs w:val="24"/>
        </w:rPr>
        <w:t>实际控制人</w:t>
      </w:r>
      <w:proofErr w:type="gramStart"/>
      <w:r>
        <w:rPr>
          <w:rFonts w:ascii="宋体" w:hAnsi="宋体"/>
          <w:sz w:val="24"/>
          <w:szCs w:val="24"/>
        </w:rPr>
        <w:t>胡精沛先生</w:t>
      </w:r>
      <w:proofErr w:type="gramEnd"/>
      <w:r>
        <w:rPr>
          <w:rFonts w:ascii="宋体" w:hAnsi="宋体"/>
          <w:sz w:val="24"/>
          <w:szCs w:val="24"/>
        </w:rPr>
        <w:t>为万里石的第一</w:t>
      </w:r>
      <w:r>
        <w:rPr>
          <w:rFonts w:ascii="宋体" w:hAnsi="宋体" w:hint="eastAsia"/>
          <w:sz w:val="24"/>
          <w:szCs w:val="24"/>
        </w:rPr>
        <w:t>大</w:t>
      </w:r>
      <w:r>
        <w:rPr>
          <w:rFonts w:ascii="宋体" w:hAnsi="宋体"/>
          <w:sz w:val="24"/>
          <w:szCs w:val="24"/>
        </w:rPr>
        <w:t>股东</w:t>
      </w:r>
      <w:r>
        <w:rPr>
          <w:rFonts w:ascii="宋体" w:hAnsi="宋体" w:hint="eastAsia"/>
          <w:sz w:val="24"/>
          <w:szCs w:val="24"/>
        </w:rPr>
        <w:t>、董事长及法定代表人，因此，本次非公开发行股票的交易构成关联交易。</w:t>
      </w:r>
    </w:p>
    <w:p w14:paraId="129BEC29" w14:textId="77777777" w:rsidR="00E82A21" w:rsidRDefault="006277F4">
      <w:pPr>
        <w:spacing w:line="360" w:lineRule="auto"/>
        <w:ind w:firstLineChars="200" w:firstLine="480"/>
        <w:rPr>
          <w:rFonts w:ascii="宋体" w:hAnsi="宋体"/>
          <w:sz w:val="24"/>
          <w:szCs w:val="24"/>
        </w:rPr>
      </w:pPr>
      <w:r>
        <w:rPr>
          <w:rFonts w:ascii="宋体" w:hAnsi="宋体" w:hint="eastAsia"/>
          <w:sz w:val="24"/>
          <w:szCs w:val="24"/>
        </w:rPr>
        <w:t>鉴于公司对本次非公开发行募集资金总额及发行股票数量进行了调整，调整后的发行方案符合《公司法》、《证券法》、</w:t>
      </w:r>
      <w:r>
        <w:rPr>
          <w:rFonts w:ascii="宋体" w:hAnsi="宋体"/>
          <w:sz w:val="24"/>
          <w:szCs w:val="24"/>
        </w:rPr>
        <w:t>《深圳证券交易所股票上市规则（2022</w:t>
      </w:r>
      <w:r>
        <w:rPr>
          <w:rFonts w:ascii="宋体" w:hAnsi="宋体" w:hint="eastAsia"/>
          <w:sz w:val="24"/>
          <w:szCs w:val="24"/>
        </w:rPr>
        <w:t>年</w:t>
      </w:r>
      <w:r>
        <w:rPr>
          <w:rFonts w:ascii="宋体" w:hAnsi="宋体"/>
          <w:sz w:val="24"/>
          <w:szCs w:val="24"/>
        </w:rPr>
        <w:t>修订）》</w:t>
      </w:r>
      <w:r>
        <w:rPr>
          <w:rFonts w:ascii="宋体" w:hAnsi="宋体" w:hint="eastAsia"/>
          <w:sz w:val="24"/>
          <w:szCs w:val="24"/>
        </w:rPr>
        <w:t>等有关法律法规的规定。我们认为，公司本次非公开发行股票涉及的关联交易事项公开、公平、合理，定价方式符合《公司法》《证券法》</w:t>
      </w:r>
      <w:r>
        <w:rPr>
          <w:rFonts w:ascii="宋体" w:hAnsi="宋体"/>
          <w:sz w:val="24"/>
          <w:szCs w:val="24"/>
        </w:rPr>
        <w:t>《深圳证券交易所股票上市规则（2022</w:t>
      </w:r>
      <w:r>
        <w:rPr>
          <w:rFonts w:ascii="宋体" w:hAnsi="宋体" w:hint="eastAsia"/>
          <w:sz w:val="24"/>
          <w:szCs w:val="24"/>
        </w:rPr>
        <w:t>年</w:t>
      </w:r>
      <w:r>
        <w:rPr>
          <w:rFonts w:ascii="宋体" w:hAnsi="宋体"/>
          <w:sz w:val="24"/>
          <w:szCs w:val="24"/>
        </w:rPr>
        <w:t>修订）》</w:t>
      </w:r>
      <w:r>
        <w:rPr>
          <w:rFonts w:ascii="宋体" w:hAnsi="宋体" w:hint="eastAsia"/>
          <w:sz w:val="24"/>
          <w:szCs w:val="24"/>
        </w:rPr>
        <w:t xml:space="preserve">等相关规定，且已经我们事前认可，相关决策程序合法、有效。本次非公开发行股票的关联交易事项没有对公司独立性构成影响，不存在损害公司及公司中小股东及其他股东特别是非关联股东利益的情形。 </w:t>
      </w:r>
    </w:p>
    <w:p w14:paraId="02BF89E2" w14:textId="6ADE32B3" w:rsidR="00E82A21" w:rsidRDefault="006277F4">
      <w:pPr>
        <w:spacing w:line="360" w:lineRule="auto"/>
        <w:ind w:firstLineChars="200" w:firstLine="480"/>
        <w:rPr>
          <w:rFonts w:ascii="宋体" w:hAnsi="宋体"/>
          <w:sz w:val="24"/>
          <w:szCs w:val="24"/>
        </w:rPr>
      </w:pPr>
      <w:r>
        <w:rPr>
          <w:rFonts w:ascii="宋体" w:hAnsi="宋体" w:hint="eastAsia"/>
          <w:sz w:val="24"/>
          <w:szCs w:val="24"/>
        </w:rPr>
        <w:t>因此，我们同意本次关联交易，并同意公司与哈富矿</w:t>
      </w:r>
      <w:proofErr w:type="gramStart"/>
      <w:r>
        <w:rPr>
          <w:rFonts w:ascii="宋体" w:hAnsi="宋体" w:hint="eastAsia"/>
          <w:sz w:val="24"/>
          <w:szCs w:val="24"/>
        </w:rPr>
        <w:t>业签署</w:t>
      </w:r>
      <w:proofErr w:type="gramEnd"/>
      <w:r>
        <w:rPr>
          <w:rFonts w:ascii="宋体" w:hAnsi="宋体" w:hint="eastAsia"/>
          <w:sz w:val="24"/>
          <w:szCs w:val="24"/>
        </w:rPr>
        <w:t>《</w:t>
      </w:r>
      <w:r>
        <w:rPr>
          <w:rFonts w:ascii="宋体" w:hAnsi="宋体"/>
          <w:sz w:val="24"/>
          <w:szCs w:val="24"/>
        </w:rPr>
        <w:t>关于</w:t>
      </w:r>
      <w:r>
        <w:rPr>
          <w:rFonts w:ascii="宋体" w:hAnsi="宋体" w:hint="eastAsia"/>
          <w:sz w:val="24"/>
          <w:szCs w:val="24"/>
        </w:rPr>
        <w:t>厦门万里石股份有限公司</w:t>
      </w:r>
      <w:r>
        <w:rPr>
          <w:rFonts w:ascii="宋体" w:hAnsi="宋体"/>
          <w:sz w:val="24"/>
          <w:szCs w:val="24"/>
        </w:rPr>
        <w:t>非公开发行股票之附条件生效的股票认购协议</w:t>
      </w:r>
      <w:r>
        <w:rPr>
          <w:rFonts w:ascii="宋体" w:hAnsi="宋体" w:hint="eastAsia"/>
          <w:sz w:val="24"/>
          <w:szCs w:val="24"/>
        </w:rPr>
        <w:t>之</w:t>
      </w:r>
      <w:r>
        <w:rPr>
          <w:rFonts w:ascii="宋体" w:hAnsi="宋体"/>
          <w:sz w:val="24"/>
          <w:szCs w:val="24"/>
        </w:rPr>
        <w:t>补充协议</w:t>
      </w:r>
      <w:r w:rsidR="00557445">
        <w:rPr>
          <w:rFonts w:ascii="宋体" w:hAnsi="宋体" w:hint="eastAsia"/>
          <w:sz w:val="24"/>
          <w:szCs w:val="24"/>
        </w:rPr>
        <w:t>（二）</w:t>
      </w:r>
      <w:r>
        <w:rPr>
          <w:rFonts w:ascii="宋体" w:hAnsi="宋体" w:hint="eastAsia"/>
          <w:sz w:val="24"/>
          <w:szCs w:val="24"/>
        </w:rPr>
        <w:t>》。</w:t>
      </w:r>
    </w:p>
    <w:p w14:paraId="0919644B" w14:textId="77777777" w:rsidR="00E82A21" w:rsidRDefault="006277F4">
      <w:pPr>
        <w:spacing w:line="360" w:lineRule="auto"/>
        <w:ind w:firstLineChars="200" w:firstLine="482"/>
        <w:outlineLvl w:val="1"/>
        <w:rPr>
          <w:rFonts w:ascii="宋体" w:hAnsi="宋体"/>
          <w:b/>
          <w:bCs/>
          <w:sz w:val="24"/>
          <w:szCs w:val="24"/>
        </w:rPr>
      </w:pPr>
      <w:r>
        <w:rPr>
          <w:rFonts w:ascii="宋体" w:hAnsi="宋体"/>
          <w:b/>
          <w:bCs/>
          <w:sz w:val="24"/>
          <w:szCs w:val="24"/>
        </w:rPr>
        <w:t>（</w:t>
      </w:r>
      <w:r>
        <w:rPr>
          <w:rFonts w:ascii="宋体" w:hAnsi="宋体" w:hint="eastAsia"/>
          <w:b/>
          <w:bCs/>
          <w:sz w:val="24"/>
          <w:szCs w:val="24"/>
        </w:rPr>
        <w:t>三</w:t>
      </w:r>
      <w:r>
        <w:rPr>
          <w:rFonts w:ascii="宋体" w:hAnsi="宋体"/>
          <w:b/>
          <w:bCs/>
          <w:sz w:val="24"/>
          <w:szCs w:val="24"/>
        </w:rPr>
        <w:t>）</w:t>
      </w:r>
      <w:r>
        <w:rPr>
          <w:rFonts w:ascii="宋体" w:hAnsi="宋体" w:hint="eastAsia"/>
          <w:b/>
          <w:bCs/>
          <w:sz w:val="24"/>
          <w:szCs w:val="24"/>
        </w:rPr>
        <w:t>本次交易尚需履行的决策程序和审批程序</w:t>
      </w:r>
    </w:p>
    <w:p w14:paraId="2E2945C6" w14:textId="63361307" w:rsidR="00E82A21" w:rsidRDefault="006277F4">
      <w:pPr>
        <w:spacing w:line="360" w:lineRule="auto"/>
        <w:ind w:firstLineChars="200" w:firstLine="480"/>
        <w:rPr>
          <w:rFonts w:ascii="宋体" w:hAnsi="宋体"/>
          <w:sz w:val="24"/>
          <w:szCs w:val="24"/>
        </w:rPr>
      </w:pPr>
      <w:r w:rsidRPr="002A7FB0">
        <w:rPr>
          <w:rFonts w:ascii="宋体" w:hAnsi="宋体"/>
          <w:sz w:val="24"/>
          <w:szCs w:val="24"/>
        </w:rPr>
        <w:t>本次非公开发行股票方案尚需中国证监会核准</w:t>
      </w:r>
      <w:r w:rsidRPr="002A7FB0">
        <w:rPr>
          <w:rFonts w:ascii="宋体" w:hAnsi="宋体" w:hint="eastAsia"/>
          <w:sz w:val="24"/>
          <w:szCs w:val="24"/>
        </w:rPr>
        <w:t>，敬请投资者注意投资风险。</w:t>
      </w:r>
    </w:p>
    <w:p w14:paraId="00669411" w14:textId="77777777" w:rsidR="00E82A21" w:rsidRDefault="006277F4">
      <w:pPr>
        <w:spacing w:line="360" w:lineRule="auto"/>
        <w:ind w:firstLineChars="200" w:firstLine="480"/>
        <w:rPr>
          <w:rFonts w:ascii="宋体" w:hAnsi="宋体"/>
          <w:sz w:val="24"/>
          <w:szCs w:val="24"/>
        </w:rPr>
      </w:pPr>
      <w:r>
        <w:rPr>
          <w:rFonts w:ascii="宋体" w:hAnsi="宋体" w:hint="eastAsia"/>
          <w:sz w:val="24"/>
          <w:szCs w:val="24"/>
        </w:rPr>
        <w:t>特此公告。</w:t>
      </w:r>
    </w:p>
    <w:p w14:paraId="7A4AFDEB" w14:textId="77777777" w:rsidR="00E82A21" w:rsidRDefault="006277F4">
      <w:pPr>
        <w:spacing w:line="480" w:lineRule="exact"/>
        <w:ind w:firstLineChars="200" w:firstLine="480"/>
        <w:jc w:val="right"/>
        <w:rPr>
          <w:kern w:val="0"/>
          <w:sz w:val="24"/>
        </w:rPr>
      </w:pPr>
      <w:r>
        <w:rPr>
          <w:rFonts w:hint="eastAsia"/>
          <w:kern w:val="0"/>
          <w:sz w:val="24"/>
        </w:rPr>
        <w:t>厦门万里石股份有限公司董事会</w:t>
      </w:r>
    </w:p>
    <w:p w14:paraId="29FC093D" w14:textId="00741B80" w:rsidR="00E82A21" w:rsidRDefault="006277F4">
      <w:pPr>
        <w:spacing w:line="360" w:lineRule="auto"/>
        <w:ind w:firstLineChars="200" w:firstLine="480"/>
        <w:jc w:val="right"/>
        <w:rPr>
          <w:rFonts w:ascii="宋体" w:hAnsi="宋体"/>
          <w:sz w:val="24"/>
          <w:szCs w:val="24"/>
        </w:rPr>
      </w:pPr>
      <w:r>
        <w:rPr>
          <w:kern w:val="0"/>
          <w:sz w:val="24"/>
        </w:rPr>
        <w:t>20</w:t>
      </w:r>
      <w:r>
        <w:rPr>
          <w:rFonts w:hint="eastAsia"/>
          <w:kern w:val="0"/>
          <w:sz w:val="24"/>
        </w:rPr>
        <w:t>2</w:t>
      </w:r>
      <w:r>
        <w:rPr>
          <w:kern w:val="0"/>
          <w:sz w:val="24"/>
        </w:rPr>
        <w:t>2</w:t>
      </w:r>
      <w:r>
        <w:rPr>
          <w:rFonts w:hint="eastAsia"/>
          <w:kern w:val="0"/>
          <w:sz w:val="24"/>
        </w:rPr>
        <w:t>年</w:t>
      </w:r>
      <w:r w:rsidR="00CC4723">
        <w:rPr>
          <w:kern w:val="0"/>
          <w:sz w:val="24"/>
        </w:rPr>
        <w:t>9</w:t>
      </w:r>
      <w:r>
        <w:rPr>
          <w:rFonts w:hint="eastAsia"/>
          <w:kern w:val="0"/>
          <w:sz w:val="24"/>
        </w:rPr>
        <w:t>月</w:t>
      </w:r>
      <w:r w:rsidR="00CC4723">
        <w:rPr>
          <w:kern w:val="0"/>
          <w:sz w:val="24"/>
        </w:rPr>
        <w:t>1</w:t>
      </w:r>
      <w:r w:rsidR="002A7FB0">
        <w:rPr>
          <w:kern w:val="0"/>
          <w:sz w:val="24"/>
        </w:rPr>
        <w:t>5</w:t>
      </w:r>
      <w:r>
        <w:rPr>
          <w:rFonts w:hint="eastAsia"/>
          <w:kern w:val="0"/>
          <w:sz w:val="24"/>
        </w:rPr>
        <w:t>日</w:t>
      </w:r>
    </w:p>
    <w:sectPr w:rsidR="00E82A2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7A24" w14:textId="77777777" w:rsidR="004A1549" w:rsidRDefault="006277F4">
      <w:r>
        <w:separator/>
      </w:r>
    </w:p>
  </w:endnote>
  <w:endnote w:type="continuationSeparator" w:id="0">
    <w:p w14:paraId="69001ADA" w14:textId="77777777" w:rsidR="004A1549" w:rsidRDefault="0062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10307"/>
      <w:docPartObj>
        <w:docPartGallery w:val="AutoText"/>
      </w:docPartObj>
    </w:sdtPr>
    <w:sdtEndPr/>
    <w:sdtContent>
      <w:p w14:paraId="2970455A" w14:textId="77777777" w:rsidR="00E82A21" w:rsidRDefault="006277F4">
        <w:pPr>
          <w:pStyle w:val="a7"/>
          <w:jc w:val="center"/>
        </w:pPr>
        <w:r>
          <w:fldChar w:fldCharType="begin"/>
        </w:r>
        <w:r>
          <w:instrText>PAGE   \* MERGEFORMAT</w:instrText>
        </w:r>
        <w:r>
          <w:fldChar w:fldCharType="separate"/>
        </w:r>
        <w:r>
          <w:rPr>
            <w:lang w:val="zh-CN"/>
          </w:rPr>
          <w:t>4</w:t>
        </w:r>
        <w:r>
          <w:fldChar w:fldCharType="end"/>
        </w:r>
      </w:p>
    </w:sdtContent>
  </w:sdt>
  <w:p w14:paraId="53216463" w14:textId="77777777" w:rsidR="00E82A21" w:rsidRDefault="00E82A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1FC8" w14:textId="77777777" w:rsidR="004A1549" w:rsidRDefault="006277F4">
      <w:r>
        <w:separator/>
      </w:r>
    </w:p>
  </w:footnote>
  <w:footnote w:type="continuationSeparator" w:id="0">
    <w:p w14:paraId="074CBF44" w14:textId="77777777" w:rsidR="004A1549" w:rsidRDefault="00627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E4"/>
    <w:rsid w:val="0000610B"/>
    <w:rsid w:val="00012648"/>
    <w:rsid w:val="00023A97"/>
    <w:rsid w:val="00035527"/>
    <w:rsid w:val="0004506C"/>
    <w:rsid w:val="000728CF"/>
    <w:rsid w:val="00084AD8"/>
    <w:rsid w:val="000A4B66"/>
    <w:rsid w:val="000B0412"/>
    <w:rsid w:val="000B04C7"/>
    <w:rsid w:val="000C3803"/>
    <w:rsid w:val="000C7AC5"/>
    <w:rsid w:val="000D2485"/>
    <w:rsid w:val="000D7184"/>
    <w:rsid w:val="00112AA4"/>
    <w:rsid w:val="0011759F"/>
    <w:rsid w:val="001303E4"/>
    <w:rsid w:val="00132098"/>
    <w:rsid w:val="00134A24"/>
    <w:rsid w:val="001477EB"/>
    <w:rsid w:val="00147A85"/>
    <w:rsid w:val="00150864"/>
    <w:rsid w:val="0015181F"/>
    <w:rsid w:val="00156396"/>
    <w:rsid w:val="00156E03"/>
    <w:rsid w:val="00190E97"/>
    <w:rsid w:val="0019200C"/>
    <w:rsid w:val="00192941"/>
    <w:rsid w:val="00195FF8"/>
    <w:rsid w:val="001A60D6"/>
    <w:rsid w:val="001C35DB"/>
    <w:rsid w:val="001C5302"/>
    <w:rsid w:val="001E6F38"/>
    <w:rsid w:val="00204DB2"/>
    <w:rsid w:val="00211DCF"/>
    <w:rsid w:val="00226C3F"/>
    <w:rsid w:val="002412D9"/>
    <w:rsid w:val="0025140B"/>
    <w:rsid w:val="0025646E"/>
    <w:rsid w:val="0027550F"/>
    <w:rsid w:val="002779E5"/>
    <w:rsid w:val="002A04EF"/>
    <w:rsid w:val="002A3F89"/>
    <w:rsid w:val="002A42C7"/>
    <w:rsid w:val="002A628D"/>
    <w:rsid w:val="002A7142"/>
    <w:rsid w:val="002A7FB0"/>
    <w:rsid w:val="002B6D20"/>
    <w:rsid w:val="002C6C1A"/>
    <w:rsid w:val="002C7687"/>
    <w:rsid w:val="002D333D"/>
    <w:rsid w:val="002F0DA5"/>
    <w:rsid w:val="00300A61"/>
    <w:rsid w:val="00312E39"/>
    <w:rsid w:val="003343B4"/>
    <w:rsid w:val="00335099"/>
    <w:rsid w:val="003408EF"/>
    <w:rsid w:val="00351E90"/>
    <w:rsid w:val="00355A9C"/>
    <w:rsid w:val="00366985"/>
    <w:rsid w:val="0037204E"/>
    <w:rsid w:val="00375983"/>
    <w:rsid w:val="00390D27"/>
    <w:rsid w:val="003940A3"/>
    <w:rsid w:val="003A0056"/>
    <w:rsid w:val="003A2D8A"/>
    <w:rsid w:val="003A3E2C"/>
    <w:rsid w:val="003B586D"/>
    <w:rsid w:val="003B6191"/>
    <w:rsid w:val="00400379"/>
    <w:rsid w:val="00447FAD"/>
    <w:rsid w:val="004530AA"/>
    <w:rsid w:val="00460F4A"/>
    <w:rsid w:val="004A1549"/>
    <w:rsid w:val="004A2C57"/>
    <w:rsid w:val="004B071D"/>
    <w:rsid w:val="004B33B4"/>
    <w:rsid w:val="004D1C24"/>
    <w:rsid w:val="004D5C4D"/>
    <w:rsid w:val="004E6CCA"/>
    <w:rsid w:val="004F3736"/>
    <w:rsid w:val="005119C2"/>
    <w:rsid w:val="00512071"/>
    <w:rsid w:val="005121AC"/>
    <w:rsid w:val="005165A5"/>
    <w:rsid w:val="00517F6F"/>
    <w:rsid w:val="00530D8F"/>
    <w:rsid w:val="00533E46"/>
    <w:rsid w:val="00535871"/>
    <w:rsid w:val="00557445"/>
    <w:rsid w:val="005719A5"/>
    <w:rsid w:val="005A56FB"/>
    <w:rsid w:val="005C1E02"/>
    <w:rsid w:val="005C2BB7"/>
    <w:rsid w:val="005D21BB"/>
    <w:rsid w:val="005F37AF"/>
    <w:rsid w:val="005F59E1"/>
    <w:rsid w:val="006277F4"/>
    <w:rsid w:val="006318C2"/>
    <w:rsid w:val="00657E47"/>
    <w:rsid w:val="00691B96"/>
    <w:rsid w:val="006A09E2"/>
    <w:rsid w:val="006B1A2D"/>
    <w:rsid w:val="006B323B"/>
    <w:rsid w:val="006C3C32"/>
    <w:rsid w:val="006D4E25"/>
    <w:rsid w:val="00725100"/>
    <w:rsid w:val="00733235"/>
    <w:rsid w:val="00771A42"/>
    <w:rsid w:val="007743E4"/>
    <w:rsid w:val="00793397"/>
    <w:rsid w:val="0079531A"/>
    <w:rsid w:val="007A6380"/>
    <w:rsid w:val="007C7265"/>
    <w:rsid w:val="007D0BFE"/>
    <w:rsid w:val="007D1CF9"/>
    <w:rsid w:val="007D5CF0"/>
    <w:rsid w:val="007D7676"/>
    <w:rsid w:val="008000B5"/>
    <w:rsid w:val="008034C5"/>
    <w:rsid w:val="00822901"/>
    <w:rsid w:val="00825E05"/>
    <w:rsid w:val="00831BE2"/>
    <w:rsid w:val="0084681D"/>
    <w:rsid w:val="00851DF1"/>
    <w:rsid w:val="0086240A"/>
    <w:rsid w:val="00865B81"/>
    <w:rsid w:val="00877C04"/>
    <w:rsid w:val="00897DA2"/>
    <w:rsid w:val="008D02CB"/>
    <w:rsid w:val="008D1AA9"/>
    <w:rsid w:val="008D52DC"/>
    <w:rsid w:val="008D68D0"/>
    <w:rsid w:val="008E24B3"/>
    <w:rsid w:val="008E49D5"/>
    <w:rsid w:val="008F2250"/>
    <w:rsid w:val="009001DA"/>
    <w:rsid w:val="00913102"/>
    <w:rsid w:val="0091777C"/>
    <w:rsid w:val="00925408"/>
    <w:rsid w:val="0093090F"/>
    <w:rsid w:val="00934ABF"/>
    <w:rsid w:val="0094666F"/>
    <w:rsid w:val="009A25E2"/>
    <w:rsid w:val="009C72E8"/>
    <w:rsid w:val="009E6D5D"/>
    <w:rsid w:val="00A0558B"/>
    <w:rsid w:val="00A15EE9"/>
    <w:rsid w:val="00A414D1"/>
    <w:rsid w:val="00A5530F"/>
    <w:rsid w:val="00A56697"/>
    <w:rsid w:val="00A7380C"/>
    <w:rsid w:val="00A74EFB"/>
    <w:rsid w:val="00A809E2"/>
    <w:rsid w:val="00A8171F"/>
    <w:rsid w:val="00AB09B1"/>
    <w:rsid w:val="00AB4651"/>
    <w:rsid w:val="00AB55E4"/>
    <w:rsid w:val="00AD0492"/>
    <w:rsid w:val="00AF01EB"/>
    <w:rsid w:val="00AF24DA"/>
    <w:rsid w:val="00AF41C2"/>
    <w:rsid w:val="00B13DD1"/>
    <w:rsid w:val="00B14BB7"/>
    <w:rsid w:val="00B24446"/>
    <w:rsid w:val="00B43BB3"/>
    <w:rsid w:val="00B83699"/>
    <w:rsid w:val="00B9170D"/>
    <w:rsid w:val="00BA4EA9"/>
    <w:rsid w:val="00BA7B05"/>
    <w:rsid w:val="00BB5BC2"/>
    <w:rsid w:val="00BC66CD"/>
    <w:rsid w:val="00BE4319"/>
    <w:rsid w:val="00BE5CB8"/>
    <w:rsid w:val="00BF2908"/>
    <w:rsid w:val="00BF3C7E"/>
    <w:rsid w:val="00C03678"/>
    <w:rsid w:val="00C17CAB"/>
    <w:rsid w:val="00C25053"/>
    <w:rsid w:val="00C5673D"/>
    <w:rsid w:val="00C604F6"/>
    <w:rsid w:val="00C84A80"/>
    <w:rsid w:val="00C869BD"/>
    <w:rsid w:val="00C8714E"/>
    <w:rsid w:val="00CA0806"/>
    <w:rsid w:val="00CB57B8"/>
    <w:rsid w:val="00CC4723"/>
    <w:rsid w:val="00CD1827"/>
    <w:rsid w:val="00D25036"/>
    <w:rsid w:val="00D32498"/>
    <w:rsid w:val="00D50F05"/>
    <w:rsid w:val="00D604EF"/>
    <w:rsid w:val="00D72AA0"/>
    <w:rsid w:val="00DA5F2D"/>
    <w:rsid w:val="00DA73A9"/>
    <w:rsid w:val="00DC6326"/>
    <w:rsid w:val="00DD193E"/>
    <w:rsid w:val="00DD64CE"/>
    <w:rsid w:val="00DF02CD"/>
    <w:rsid w:val="00DF5848"/>
    <w:rsid w:val="00E0068B"/>
    <w:rsid w:val="00E02880"/>
    <w:rsid w:val="00E344B5"/>
    <w:rsid w:val="00E429CF"/>
    <w:rsid w:val="00E82A21"/>
    <w:rsid w:val="00E93F4B"/>
    <w:rsid w:val="00E950E6"/>
    <w:rsid w:val="00EA26FF"/>
    <w:rsid w:val="00EA4F0B"/>
    <w:rsid w:val="00ED2985"/>
    <w:rsid w:val="00ED6361"/>
    <w:rsid w:val="00F17712"/>
    <w:rsid w:val="00F30F46"/>
    <w:rsid w:val="00F42768"/>
    <w:rsid w:val="00F57B59"/>
    <w:rsid w:val="00F61A0B"/>
    <w:rsid w:val="00F96988"/>
    <w:rsid w:val="00FB68F7"/>
    <w:rsid w:val="00FC1672"/>
    <w:rsid w:val="00FC5A71"/>
    <w:rsid w:val="00FD1629"/>
    <w:rsid w:val="00FD3B3C"/>
    <w:rsid w:val="00FD6ABB"/>
    <w:rsid w:val="00FE0AD7"/>
    <w:rsid w:val="00FE27DD"/>
    <w:rsid w:val="00FE68A0"/>
    <w:rsid w:val="00FF0EF3"/>
    <w:rsid w:val="01347A59"/>
    <w:rsid w:val="080A1514"/>
    <w:rsid w:val="10B62239"/>
    <w:rsid w:val="18BF1EA7"/>
    <w:rsid w:val="1FB42039"/>
    <w:rsid w:val="213447CC"/>
    <w:rsid w:val="2BB533C1"/>
    <w:rsid w:val="2F364819"/>
    <w:rsid w:val="302A1EA4"/>
    <w:rsid w:val="42380450"/>
    <w:rsid w:val="46362EF9"/>
    <w:rsid w:val="4AD02060"/>
    <w:rsid w:val="4C715DC9"/>
    <w:rsid w:val="51060193"/>
    <w:rsid w:val="51A72EFC"/>
    <w:rsid w:val="54A51975"/>
    <w:rsid w:val="5B8D3163"/>
    <w:rsid w:val="5EC21376"/>
    <w:rsid w:val="668D04BB"/>
    <w:rsid w:val="69194288"/>
    <w:rsid w:val="75DB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9F0C"/>
  <w15:docId w15:val="{75B07A38-0AA8-4684-94D2-E81FEE7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Pr>
      <w:sz w:val="21"/>
      <w:szCs w:val="21"/>
    </w:rPr>
  </w:style>
  <w:style w:type="character" w:customStyle="1" w:styleId="aa">
    <w:name w:val="页眉 字符"/>
    <w:link w:val="a9"/>
    <w:uiPriority w:val="99"/>
    <w:semiHidden/>
    <w:rPr>
      <w:sz w:val="18"/>
      <w:szCs w:val="18"/>
    </w:rPr>
  </w:style>
  <w:style w:type="character" w:customStyle="1" w:styleId="a8">
    <w:name w:val="页脚 字符"/>
    <w:link w:val="a7"/>
    <w:uiPriority w:val="99"/>
    <w:rPr>
      <w:sz w:val="18"/>
      <w:szCs w:val="18"/>
    </w:rPr>
  </w:style>
  <w:style w:type="character" w:customStyle="1" w:styleId="a6">
    <w:name w:val="批注框文本 字符"/>
    <w:link w:val="a5"/>
    <w:uiPriority w:val="99"/>
    <w:semiHidden/>
    <w:rPr>
      <w:kern w:val="2"/>
      <w:sz w:val="18"/>
      <w:szCs w:val="18"/>
    </w:rPr>
  </w:style>
  <w:style w:type="paragraph" w:customStyle="1" w:styleId="1">
    <w:name w:val="修订1"/>
    <w:hidden/>
    <w:uiPriority w:val="99"/>
    <w:unhideWhenUsed/>
    <w:rPr>
      <w:kern w:val="2"/>
      <w:sz w:val="21"/>
      <w:szCs w:val="22"/>
    </w:rPr>
  </w:style>
  <w:style w:type="character" w:customStyle="1" w:styleId="a4">
    <w:name w:val="批注文字 字符"/>
    <w:link w:val="a3"/>
    <w:uiPriority w:val="99"/>
    <w:semiHidden/>
    <w:rPr>
      <w:kern w:val="2"/>
      <w:sz w:val="21"/>
      <w:szCs w:val="22"/>
    </w:rPr>
  </w:style>
  <w:style w:type="character" w:customStyle="1" w:styleId="ac">
    <w:name w:val="批注主题 字符"/>
    <w:link w:val="ab"/>
    <w:uiPriority w:val="99"/>
    <w:semiHidden/>
    <w:rPr>
      <w:b/>
      <w:bCs/>
      <w:kern w:val="2"/>
      <w:sz w:val="21"/>
      <w:szCs w:val="22"/>
    </w:rPr>
  </w:style>
  <w:style w:type="paragraph" w:styleId="af">
    <w:name w:val="List Paragraph"/>
    <w:basedOn w:val="a"/>
    <w:uiPriority w:val="99"/>
    <w:qFormat/>
    <w:pPr>
      <w:ind w:firstLineChars="200" w:firstLine="420"/>
    </w:pPr>
  </w:style>
  <w:style w:type="paragraph" w:customStyle="1" w:styleId="af0">
    <w:name w:val="特别声明黑体标题"/>
    <w:basedOn w:val="a"/>
    <w:link w:val="Char"/>
    <w:qFormat/>
    <w:pPr>
      <w:spacing w:line="360" w:lineRule="auto"/>
      <w:jc w:val="center"/>
    </w:pPr>
    <w:rPr>
      <w:rFonts w:ascii="黑体" w:eastAsia="黑体" w:hAnsi="黑体"/>
      <w:kern w:val="0"/>
      <w:sz w:val="36"/>
      <w:szCs w:val="36"/>
      <w:lang w:val="zh-CN"/>
    </w:rPr>
  </w:style>
  <w:style w:type="character" w:customStyle="1" w:styleId="Char">
    <w:name w:val="特别声明黑体标题 Char"/>
    <w:link w:val="af0"/>
    <w:rPr>
      <w:rFonts w:ascii="黑体" w:eastAsia="黑体" w:hAnsi="黑体"/>
      <w:sz w:val="36"/>
      <w:szCs w:val="36"/>
      <w:lang w:val="zh-CN" w:eastAsia="zh-CN"/>
    </w:rPr>
  </w:style>
  <w:style w:type="paragraph" w:customStyle="1" w:styleId="Default">
    <w:name w:val="Default"/>
    <w:link w:val="DefaultChar"/>
    <w:qFormat/>
    <w:pPr>
      <w:widowControl w:val="0"/>
      <w:autoSpaceDE w:val="0"/>
      <w:autoSpaceDN w:val="0"/>
      <w:adjustRightInd w:val="0"/>
    </w:pPr>
    <w:rPr>
      <w:rFonts w:ascii="宋体" w:hAnsi="Times New Roman" w:cs="宋体"/>
      <w:color w:val="000000"/>
      <w:sz w:val="24"/>
      <w:szCs w:val="24"/>
    </w:rPr>
  </w:style>
  <w:style w:type="character" w:customStyle="1" w:styleId="DefaultChar">
    <w:name w:val="Default Char"/>
    <w:link w:val="Default"/>
    <w:rPr>
      <w:rFonts w:ascii="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576</Words>
  <Characters>3288</Characters>
  <Application>Microsoft Office Word</Application>
  <DocSecurity>0</DocSecurity>
  <Lines>27</Lines>
  <Paragraphs>7</Paragraphs>
  <ScaleCrop>false</ScaleCrop>
  <Company>Tongshang</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huangY</dc:creator>
  <cp:lastModifiedBy>邓 金银</cp:lastModifiedBy>
  <cp:revision>104</cp:revision>
  <cp:lastPrinted>2019-06-18T02:13:00Z</cp:lastPrinted>
  <dcterms:created xsi:type="dcterms:W3CDTF">2019-03-09T05:55:00Z</dcterms:created>
  <dcterms:modified xsi:type="dcterms:W3CDTF">2022-09-14T09:44:00Z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07164542F4C54FF98D1F68CFCDB8A71F</vt:lpwstr>
  </property>
</Properties>
</file>