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40"/>
        <w:jc w:val="center"/>
        <w:rPr>
          <w:rFonts w:ascii="Times New Roman" w:hAnsi="Times New Roman" w:eastAsia="宋体" w:cs="宋体"/>
          <w:b/>
          <w:bCs/>
          <w:sz w:val="36"/>
          <w:szCs w:val="36"/>
        </w:rPr>
      </w:pPr>
    </w:p>
    <w:p>
      <w:pPr>
        <w:ind w:left="240"/>
        <w:jc w:val="center"/>
        <w:rPr>
          <w:rFonts w:ascii="Times New Roman" w:hAnsi="Times New Roman" w:eastAsia="宋体" w:cs="宋体"/>
          <w:b/>
          <w:bCs/>
          <w:sz w:val="36"/>
          <w:szCs w:val="36"/>
        </w:rPr>
      </w:pPr>
    </w:p>
    <w:p>
      <w:pPr>
        <w:ind w:left="240"/>
        <w:jc w:val="center"/>
        <w:rPr>
          <w:rFonts w:ascii="Times New Roman" w:hAnsi="Times New Roman" w:eastAsia="宋体" w:cs="宋体"/>
          <w:b/>
          <w:bCs/>
          <w:sz w:val="36"/>
          <w:szCs w:val="36"/>
        </w:rPr>
      </w:pPr>
    </w:p>
    <w:tbl>
      <w:tblPr>
        <w:tblStyle w:val="10"/>
        <w:tblpPr w:leftFromText="180" w:rightFromText="180" w:vertAnchor="text" w:horzAnchor="page" w:tblpXSpec="center" w:tblpY="22"/>
        <w:tblOverlap w:val="never"/>
        <w:tblW w:w="8460" w:type="dxa"/>
        <w:jc w:val="center"/>
        <w:tblBorders>
          <w:top w:val="single" w:color="000000" w:sz="12" w:space="0"/>
          <w:left w:val="none" w:color="auto" w:sz="0" w:space="0"/>
          <w:bottom w:val="single" w:color="000000"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460"/>
      </w:tblGrid>
      <w:tr>
        <w:tblPrEx>
          <w:tblBorders>
            <w:top w:val="single" w:color="000000" w:sz="12" w:space="0"/>
            <w:left w:val="none" w:color="auto" w:sz="0" w:space="0"/>
            <w:bottom w:val="single" w:color="000000"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96" w:hRule="atLeast"/>
          <w:jc w:val="center"/>
        </w:trPr>
        <w:tc>
          <w:tcPr>
            <w:tcW w:w="8460" w:type="dxa"/>
            <w:tcBorders>
              <w:top w:val="single" w:color="000000" w:sz="8" w:space="0"/>
              <w:bottom w:val="single" w:color="000000" w:sz="8" w:space="0"/>
            </w:tcBorders>
            <w:vAlign w:val="center"/>
          </w:tcPr>
          <w:p>
            <w:pPr>
              <w:widowControl w:val="0"/>
              <w:spacing w:before="156" w:beforeLines="50" w:after="156" w:afterLines="50" w:line="360" w:lineRule="auto"/>
              <w:ind w:firstLine="422" w:firstLineChars="200"/>
              <w:jc w:val="center"/>
              <w:rPr>
                <w:rFonts w:ascii="Times New Roman" w:hAnsi="Times New Roman" w:eastAsia="宋体" w:cs="宋体"/>
                <w:b/>
                <w:kern w:val="2"/>
                <w:sz w:val="21"/>
                <w:szCs w:val="22"/>
                <w:lang w:eastAsia="zh-CN"/>
              </w:rPr>
            </w:pPr>
          </w:p>
          <w:p>
            <w:pPr>
              <w:widowControl w:val="0"/>
              <w:spacing w:before="156" w:beforeLines="50" w:after="156" w:afterLines="50" w:line="360" w:lineRule="auto"/>
              <w:jc w:val="center"/>
              <w:rPr>
                <w:rFonts w:ascii="Times New Roman" w:hAnsi="Times New Roman" w:eastAsia="楷体" w:cs="楷体"/>
                <w:b/>
                <w:kern w:val="2"/>
                <w:sz w:val="21"/>
                <w:szCs w:val="22"/>
                <w:lang w:eastAsia="zh-CN"/>
              </w:rPr>
            </w:pPr>
            <w:r>
              <w:rPr>
                <w:rFonts w:hint="eastAsia" w:ascii="Times New Roman" w:hAnsi="Times New Roman" w:eastAsia="楷体" w:cs="楷体"/>
                <w:b/>
                <w:kern w:val="2"/>
                <w:sz w:val="36"/>
                <w:szCs w:val="36"/>
                <w:lang w:eastAsia="zh-CN"/>
              </w:rPr>
              <w:t>北京德恒律师事务所</w:t>
            </w:r>
          </w:p>
          <w:p>
            <w:pPr>
              <w:widowControl w:val="0"/>
              <w:spacing w:before="156" w:beforeLines="50" w:after="156" w:afterLines="50" w:line="360" w:lineRule="auto"/>
              <w:jc w:val="center"/>
              <w:rPr>
                <w:rFonts w:ascii="Times New Roman" w:hAnsi="Times New Roman" w:eastAsia="楷体" w:cs="楷体"/>
                <w:b/>
                <w:kern w:val="2"/>
                <w:sz w:val="21"/>
                <w:szCs w:val="22"/>
                <w:lang w:eastAsia="zh-CN"/>
              </w:rPr>
            </w:pPr>
            <w:r>
              <w:rPr>
                <w:rFonts w:hint="eastAsia" w:ascii="Times New Roman" w:hAnsi="Times New Roman" w:eastAsia="楷体" w:cs="楷体"/>
                <w:b/>
                <w:kern w:val="2"/>
                <w:sz w:val="36"/>
                <w:szCs w:val="36"/>
                <w:lang w:eastAsia="zh-CN"/>
              </w:rPr>
              <w:t>关于厦门万里石股份有限公司</w:t>
            </w:r>
          </w:p>
          <w:p>
            <w:pPr>
              <w:widowControl w:val="0"/>
              <w:spacing w:before="156" w:beforeLines="50" w:after="156" w:afterLines="50" w:line="360" w:lineRule="auto"/>
              <w:jc w:val="center"/>
              <w:rPr>
                <w:rFonts w:ascii="Times New Roman" w:hAnsi="Times New Roman" w:eastAsia="楷体" w:cs="楷体"/>
                <w:b/>
                <w:kern w:val="2"/>
                <w:sz w:val="36"/>
                <w:szCs w:val="36"/>
                <w:lang w:eastAsia="zh-CN"/>
              </w:rPr>
            </w:pPr>
            <w:r>
              <w:rPr>
                <w:rFonts w:ascii="Times New Roman" w:hAnsi="Times New Roman" w:eastAsia="楷体"/>
                <w:b/>
                <w:kern w:val="2"/>
                <w:sz w:val="36"/>
                <w:szCs w:val="36"/>
                <w:lang w:eastAsia="zh-CN"/>
              </w:rPr>
              <w:t>2022</w:t>
            </w:r>
            <w:r>
              <w:rPr>
                <w:rFonts w:hint="eastAsia" w:ascii="Times New Roman" w:hAnsi="Times New Roman" w:eastAsia="楷体" w:cs="楷体"/>
                <w:b/>
                <w:kern w:val="2"/>
                <w:sz w:val="36"/>
                <w:szCs w:val="36"/>
                <w:lang w:eastAsia="zh-CN"/>
              </w:rPr>
              <w:t>年股票期权与限制性股票激励计划</w:t>
            </w:r>
          </w:p>
          <w:p>
            <w:pPr>
              <w:widowControl w:val="0"/>
              <w:spacing w:before="156" w:beforeLines="50" w:after="156" w:afterLines="50" w:line="360" w:lineRule="auto"/>
              <w:jc w:val="center"/>
              <w:rPr>
                <w:rFonts w:ascii="Times New Roman" w:hAnsi="Times New Roman" w:eastAsia="楷体" w:cs="楷体"/>
                <w:b/>
                <w:kern w:val="2"/>
                <w:sz w:val="21"/>
                <w:szCs w:val="22"/>
                <w:lang w:eastAsia="zh-CN"/>
              </w:rPr>
            </w:pPr>
            <w:r>
              <w:rPr>
                <w:rFonts w:hint="eastAsia" w:ascii="Times New Roman" w:hAnsi="Times New Roman" w:eastAsia="楷体" w:cs="楷体"/>
                <w:b/>
                <w:kern w:val="2"/>
                <w:sz w:val="36"/>
                <w:szCs w:val="36"/>
                <w:lang w:eastAsia="zh-CN"/>
              </w:rPr>
              <w:t>预留授予相关事项的</w:t>
            </w:r>
          </w:p>
          <w:p>
            <w:pPr>
              <w:widowControl w:val="0"/>
              <w:spacing w:before="156" w:beforeLines="50" w:after="156" w:afterLines="50" w:line="360" w:lineRule="auto"/>
              <w:jc w:val="center"/>
              <w:rPr>
                <w:rFonts w:ascii="Times New Roman" w:hAnsi="Times New Roman" w:eastAsia="楷体" w:cs="楷体"/>
                <w:b/>
                <w:kern w:val="2"/>
                <w:sz w:val="21"/>
                <w:szCs w:val="22"/>
                <w:lang w:eastAsia="zh-CN"/>
              </w:rPr>
            </w:pPr>
            <w:r>
              <w:rPr>
                <w:rFonts w:hint="eastAsia" w:ascii="Times New Roman" w:hAnsi="Times New Roman" w:eastAsia="楷体" w:cs="楷体"/>
                <w:b/>
                <w:kern w:val="2"/>
                <w:sz w:val="36"/>
                <w:szCs w:val="36"/>
                <w:lang w:eastAsia="zh-CN"/>
              </w:rPr>
              <w:t>法律意见</w:t>
            </w:r>
          </w:p>
          <w:p>
            <w:pPr>
              <w:widowControl w:val="0"/>
              <w:spacing w:before="156" w:beforeLines="50" w:after="156" w:afterLines="50" w:line="360" w:lineRule="auto"/>
              <w:ind w:firstLine="422" w:firstLineChars="200"/>
              <w:jc w:val="center"/>
              <w:rPr>
                <w:rFonts w:ascii="Times New Roman" w:hAnsi="Times New Roman" w:eastAsia="宋体" w:cs="宋体"/>
                <w:b/>
                <w:kern w:val="2"/>
                <w:sz w:val="21"/>
                <w:szCs w:val="22"/>
                <w:lang w:eastAsia="zh-CN"/>
              </w:rPr>
            </w:pPr>
          </w:p>
        </w:tc>
      </w:tr>
    </w:tbl>
    <w:p>
      <w:pPr>
        <w:ind w:left="240"/>
        <w:jc w:val="center"/>
        <w:rPr>
          <w:rFonts w:ascii="Times New Roman" w:hAnsi="Times New Roman" w:eastAsia="宋体" w:cs="宋体"/>
          <w:b/>
          <w:bCs/>
          <w:sz w:val="36"/>
          <w:szCs w:val="36"/>
          <w:lang w:eastAsia="zh-CN"/>
        </w:rPr>
      </w:pPr>
    </w:p>
    <w:p>
      <w:pPr>
        <w:ind w:left="240"/>
        <w:jc w:val="center"/>
        <w:rPr>
          <w:rFonts w:ascii="Times New Roman" w:hAnsi="Times New Roman" w:eastAsia="宋体" w:cs="宋体"/>
          <w:b/>
          <w:bCs/>
          <w:sz w:val="36"/>
          <w:szCs w:val="36"/>
          <w:lang w:eastAsia="zh-CN"/>
        </w:rPr>
      </w:pPr>
    </w:p>
    <w:p>
      <w:pPr>
        <w:ind w:left="240"/>
        <w:jc w:val="center"/>
        <w:rPr>
          <w:rFonts w:ascii="Times New Roman" w:hAnsi="Times New Roman" w:eastAsia="宋体" w:cs="宋体"/>
          <w:b/>
          <w:bCs/>
          <w:sz w:val="36"/>
          <w:szCs w:val="36"/>
          <w:lang w:eastAsia="zh-CN"/>
        </w:rPr>
      </w:pPr>
    </w:p>
    <w:p>
      <w:pPr>
        <w:ind w:left="240"/>
        <w:jc w:val="center"/>
        <w:rPr>
          <w:rFonts w:ascii="Times New Roman" w:hAnsi="Times New Roman" w:eastAsia="宋体" w:cs="宋体"/>
          <w:b/>
          <w:bCs/>
          <w:sz w:val="36"/>
          <w:szCs w:val="36"/>
          <w:lang w:eastAsia="zh-CN"/>
        </w:rPr>
      </w:pPr>
    </w:p>
    <w:p>
      <w:pPr>
        <w:ind w:left="240"/>
        <w:jc w:val="center"/>
        <w:rPr>
          <w:rFonts w:ascii="Times New Roman" w:hAnsi="Times New Roman" w:eastAsia="宋体" w:cs="宋体"/>
          <w:b/>
          <w:bCs/>
          <w:sz w:val="36"/>
          <w:szCs w:val="36"/>
          <w:lang w:eastAsia="zh-CN"/>
        </w:rPr>
      </w:pPr>
    </w:p>
    <w:p>
      <w:pPr>
        <w:ind w:left="240"/>
        <w:jc w:val="center"/>
        <w:rPr>
          <w:rFonts w:ascii="Times New Roman" w:hAnsi="Times New Roman" w:eastAsia="宋体" w:cs="宋体"/>
          <w:b/>
          <w:bCs/>
          <w:sz w:val="36"/>
          <w:szCs w:val="36"/>
          <w:lang w:eastAsia="zh-CN"/>
        </w:rPr>
      </w:pPr>
    </w:p>
    <w:p>
      <w:pPr>
        <w:ind w:left="240"/>
        <w:jc w:val="center"/>
        <w:rPr>
          <w:rFonts w:ascii="Times New Roman" w:hAnsi="Times New Roman" w:eastAsia="宋体" w:cs="宋体"/>
          <w:b/>
          <w:bCs/>
          <w:sz w:val="36"/>
          <w:szCs w:val="36"/>
          <w:lang w:eastAsia="zh-CN"/>
        </w:rPr>
      </w:pPr>
    </w:p>
    <w:p>
      <w:pPr>
        <w:spacing w:before="156" w:beforeLines="50" w:after="156" w:afterLines="50" w:line="240" w:lineRule="atLeast"/>
        <w:jc w:val="center"/>
        <w:rPr>
          <w:rFonts w:ascii="Times New Roman" w:hAnsi="Times New Roman" w:eastAsia="宋体" w:cs="宋体"/>
          <w:b/>
          <w:sz w:val="52"/>
          <w:szCs w:val="52"/>
        </w:rPr>
      </w:pPr>
      <w:r>
        <w:rPr>
          <w:rFonts w:ascii="Times New Roman" w:hAnsi="Times New Roman" w:eastAsia="宋体" w:cs="宋体"/>
          <w:b/>
          <w:sz w:val="52"/>
          <w:szCs w:val="52"/>
          <w:lang w:eastAsia="zh-CN"/>
        </w:rPr>
        <w:drawing>
          <wp:inline distT="0" distB="0" distL="114300" distR="114300">
            <wp:extent cx="2245995" cy="567055"/>
            <wp:effectExtent l="0" t="0" r="1905" b="4445"/>
            <wp:docPr id="1" name="图片 1" descr="DEHENG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EHENG logo 2013"/>
                    <pic:cNvPicPr>
                      <a:picLocks noChangeAspect="1"/>
                    </pic:cNvPicPr>
                  </pic:nvPicPr>
                  <pic:blipFill>
                    <a:blip r:embed="rId15"/>
                    <a:stretch>
                      <a:fillRect/>
                    </a:stretch>
                  </pic:blipFill>
                  <pic:spPr>
                    <a:xfrm>
                      <a:off x="0" y="0"/>
                      <a:ext cx="2245995" cy="567055"/>
                    </a:xfrm>
                    <a:prstGeom prst="rect">
                      <a:avLst/>
                    </a:prstGeom>
                    <a:noFill/>
                    <a:ln>
                      <a:noFill/>
                    </a:ln>
                  </pic:spPr>
                </pic:pic>
              </a:graphicData>
            </a:graphic>
          </wp:inline>
        </w:drawing>
      </w:r>
    </w:p>
    <w:p>
      <w:pPr>
        <w:spacing w:before="156" w:beforeLines="50" w:after="156" w:afterLines="50" w:line="240" w:lineRule="exact"/>
        <w:jc w:val="center"/>
        <w:rPr>
          <w:rFonts w:ascii="Times New Roman" w:hAnsi="Times New Roman" w:eastAsia="宋体" w:cs="宋体"/>
          <w:snapToGrid w:val="0"/>
          <w:w w:val="106"/>
          <w:sz w:val="22"/>
          <w:szCs w:val="22"/>
          <w:lang w:eastAsia="zh-CN"/>
        </w:rPr>
      </w:pPr>
      <w:bookmarkStart w:id="0" w:name="_Toc528528078"/>
      <w:bookmarkStart w:id="1" w:name="_Toc16844"/>
      <w:bookmarkStart w:id="2" w:name="_Toc11914"/>
      <w:bookmarkStart w:id="3" w:name="_Toc27955"/>
      <w:bookmarkStart w:id="4" w:name="_Toc7891"/>
      <w:bookmarkStart w:id="5" w:name="_Toc20443"/>
      <w:r>
        <w:rPr>
          <w:rFonts w:ascii="Times New Roman" w:hAnsi="Times New Roman" w:eastAsia="宋体" w:cs="宋体"/>
          <w:snapToGrid w:val="0"/>
          <w:w w:val="106"/>
          <w:sz w:val="22"/>
          <w:szCs w:val="22"/>
          <w:lang w:eastAsia="zh-CN"/>
        </w:rPr>
        <w:t>北京市西城区金融街19号富凯大厦B座12层</w:t>
      </w:r>
    </w:p>
    <w:p>
      <w:pPr>
        <w:spacing w:before="156" w:beforeLines="50" w:after="156" w:afterLines="50" w:line="240" w:lineRule="exact"/>
        <w:jc w:val="center"/>
        <w:rPr>
          <w:rFonts w:ascii="Times New Roman" w:hAnsi="Times New Roman" w:eastAsia="宋体" w:cs="宋体"/>
          <w:snapToGrid w:val="0"/>
          <w:w w:val="106"/>
          <w:sz w:val="22"/>
          <w:szCs w:val="22"/>
          <w:lang w:eastAsia="zh-CN"/>
        </w:rPr>
      </w:pPr>
      <w:r>
        <w:rPr>
          <w:rFonts w:ascii="Times New Roman" w:hAnsi="Times New Roman" w:eastAsia="宋体" w:cs="宋体"/>
          <w:sz w:val="22"/>
          <w:szCs w:val="22"/>
          <w:lang w:eastAsia="zh-CN"/>
        </w:rPr>
        <w:t>电话</w:t>
      </w:r>
      <w:r>
        <w:rPr>
          <w:rFonts w:hint="eastAsia" w:ascii="Times New Roman" w:hAnsi="Times New Roman" w:eastAsia="宋体" w:cs="宋体"/>
          <w:sz w:val="22"/>
          <w:szCs w:val="22"/>
          <w:lang w:eastAsia="zh-CN"/>
        </w:rPr>
        <w:t>：</w:t>
      </w:r>
      <w:r>
        <w:rPr>
          <w:rFonts w:ascii="Times New Roman" w:hAnsi="Times New Roman" w:eastAsia="宋体" w:cs="宋体"/>
          <w:sz w:val="22"/>
          <w:szCs w:val="22"/>
          <w:lang w:eastAsia="zh-CN"/>
        </w:rPr>
        <w:t>010-52682888 传真</w:t>
      </w:r>
      <w:r>
        <w:rPr>
          <w:rFonts w:hint="eastAsia" w:ascii="Times New Roman" w:hAnsi="Times New Roman" w:eastAsia="宋体" w:cs="宋体"/>
          <w:sz w:val="22"/>
          <w:szCs w:val="22"/>
          <w:lang w:eastAsia="zh-CN"/>
        </w:rPr>
        <w:t>：</w:t>
      </w:r>
      <w:r>
        <w:rPr>
          <w:rFonts w:ascii="Times New Roman" w:hAnsi="Times New Roman" w:eastAsia="宋体" w:cs="宋体"/>
          <w:sz w:val="22"/>
          <w:szCs w:val="22"/>
          <w:lang w:eastAsia="zh-CN"/>
        </w:rPr>
        <w:t>010-52682999 邮编</w:t>
      </w:r>
      <w:r>
        <w:rPr>
          <w:rFonts w:hint="eastAsia" w:ascii="Times New Roman" w:hAnsi="Times New Roman" w:eastAsia="宋体" w:cs="宋体"/>
          <w:sz w:val="22"/>
          <w:szCs w:val="22"/>
          <w:lang w:eastAsia="zh-CN"/>
        </w:rPr>
        <w:t>：</w:t>
      </w:r>
      <w:r>
        <w:rPr>
          <w:rFonts w:ascii="Times New Roman" w:hAnsi="Times New Roman" w:eastAsia="宋体" w:cs="宋体"/>
          <w:sz w:val="22"/>
          <w:szCs w:val="22"/>
          <w:lang w:eastAsia="zh-CN"/>
        </w:rPr>
        <w:t>100033</w:t>
      </w:r>
    </w:p>
    <w:p>
      <w:pPr>
        <w:spacing w:before="156" w:beforeLines="50" w:after="156" w:afterLines="50" w:line="360" w:lineRule="auto"/>
        <w:jc w:val="center"/>
        <w:rPr>
          <w:rFonts w:ascii="Times New Roman" w:hAnsi="Times New Roman" w:eastAsia="宋体" w:cs="宋体"/>
          <w:sz w:val="22"/>
          <w:szCs w:val="22"/>
          <w:lang w:eastAsia="zh-CN"/>
        </w:rPr>
        <w:sectPr>
          <w:headerReference r:id="rId5" w:type="first"/>
          <w:headerReference r:id="rId3" w:type="default"/>
          <w:footerReference r:id="rId6" w:type="default"/>
          <w:headerReference r:id="rId4" w:type="even"/>
          <w:footerReference r:id="rId7" w:type="even"/>
          <w:pgSz w:w="11906" w:h="16838"/>
          <w:pgMar w:top="1440" w:right="1800" w:bottom="1440" w:left="1800" w:header="1134" w:footer="992" w:gutter="0"/>
          <w:pgNumType w:start="1"/>
          <w:cols w:space="720" w:num="1"/>
          <w:titlePg/>
          <w:docGrid w:type="lines" w:linePitch="312" w:charSpace="0"/>
        </w:sectPr>
      </w:pPr>
    </w:p>
    <w:bookmarkEnd w:id="0"/>
    <w:bookmarkEnd w:id="1"/>
    <w:bookmarkEnd w:id="2"/>
    <w:bookmarkEnd w:id="3"/>
    <w:bookmarkEnd w:id="4"/>
    <w:bookmarkEnd w:id="5"/>
    <w:p>
      <w:pPr>
        <w:spacing w:before="156" w:beforeLines="50" w:after="156" w:afterLines="50" w:line="360" w:lineRule="auto"/>
        <w:jc w:val="center"/>
        <w:rPr>
          <w:rFonts w:ascii="Times New Roman" w:hAnsi="Times New Roman" w:eastAsia="楷体" w:cs="楷体"/>
          <w:b/>
          <w:sz w:val="30"/>
          <w:szCs w:val="30"/>
          <w:lang w:eastAsia="zh-CN"/>
        </w:rPr>
      </w:pPr>
      <w:r>
        <w:rPr>
          <w:rFonts w:hint="eastAsia" w:ascii="Times New Roman" w:hAnsi="Times New Roman" w:eastAsia="楷体" w:cs="楷体"/>
          <w:b/>
          <w:sz w:val="30"/>
          <w:szCs w:val="30"/>
          <w:lang w:eastAsia="zh-CN"/>
        </w:rPr>
        <w:t>北京德恒律师事务所</w:t>
      </w:r>
    </w:p>
    <w:p>
      <w:pPr>
        <w:spacing w:before="156" w:beforeLines="50" w:after="156" w:afterLines="50" w:line="360" w:lineRule="auto"/>
        <w:jc w:val="center"/>
        <w:rPr>
          <w:rFonts w:ascii="Times New Roman" w:hAnsi="Times New Roman" w:eastAsia="楷体" w:cs="楷体"/>
          <w:b/>
          <w:sz w:val="30"/>
          <w:szCs w:val="30"/>
          <w:lang w:eastAsia="zh-CN"/>
        </w:rPr>
      </w:pPr>
      <w:r>
        <w:rPr>
          <w:rFonts w:hint="eastAsia" w:ascii="Times New Roman" w:hAnsi="Times New Roman" w:eastAsia="楷体" w:cs="楷体"/>
          <w:b/>
          <w:sz w:val="30"/>
          <w:szCs w:val="30"/>
          <w:lang w:eastAsia="zh-CN"/>
        </w:rPr>
        <w:t>关于厦门万里石股份有限公司</w:t>
      </w:r>
    </w:p>
    <w:p>
      <w:pPr>
        <w:spacing w:before="156" w:beforeLines="50" w:after="156" w:afterLines="50" w:line="360" w:lineRule="auto"/>
        <w:jc w:val="center"/>
        <w:rPr>
          <w:rFonts w:ascii="Times New Roman" w:hAnsi="Times New Roman" w:eastAsia="楷体" w:cs="楷体"/>
          <w:b/>
          <w:sz w:val="30"/>
          <w:szCs w:val="30"/>
          <w:lang w:eastAsia="zh-CN"/>
        </w:rPr>
      </w:pPr>
      <w:r>
        <w:rPr>
          <w:rFonts w:hint="eastAsia" w:ascii="Times New Roman" w:hAnsi="Times New Roman" w:eastAsia="楷体" w:cs="楷体"/>
          <w:b/>
          <w:sz w:val="30"/>
          <w:szCs w:val="30"/>
          <w:lang w:eastAsia="zh-CN"/>
        </w:rPr>
        <w:t>2022年股票期权与限制性股票激励计划</w:t>
      </w:r>
    </w:p>
    <w:p>
      <w:pPr>
        <w:spacing w:before="156" w:beforeLines="50" w:after="156" w:afterLines="50" w:line="360" w:lineRule="auto"/>
        <w:jc w:val="center"/>
        <w:rPr>
          <w:rFonts w:ascii="Times New Roman" w:hAnsi="Times New Roman" w:eastAsia="楷体" w:cs="楷体"/>
          <w:b/>
          <w:sz w:val="30"/>
          <w:szCs w:val="30"/>
          <w:lang w:eastAsia="zh-CN"/>
        </w:rPr>
      </w:pPr>
      <w:r>
        <w:rPr>
          <w:rFonts w:hint="eastAsia" w:ascii="Times New Roman" w:hAnsi="Times New Roman" w:eastAsia="楷体" w:cs="楷体"/>
          <w:b/>
          <w:sz w:val="30"/>
          <w:szCs w:val="30"/>
          <w:lang w:eastAsia="zh-CN"/>
        </w:rPr>
        <w:t>预留授予相关事项的</w:t>
      </w:r>
    </w:p>
    <w:p>
      <w:pPr>
        <w:spacing w:before="156" w:beforeLines="50" w:after="156" w:afterLines="50" w:line="360" w:lineRule="auto"/>
        <w:jc w:val="center"/>
        <w:rPr>
          <w:rFonts w:ascii="Times New Roman" w:hAnsi="Times New Roman" w:eastAsia="楷体" w:cs="楷体"/>
          <w:b/>
          <w:sz w:val="30"/>
          <w:szCs w:val="30"/>
          <w:lang w:eastAsia="zh-CN"/>
        </w:rPr>
      </w:pPr>
      <w:r>
        <w:rPr>
          <w:rFonts w:hint="eastAsia" w:ascii="Times New Roman" w:hAnsi="Times New Roman" w:eastAsia="楷体" w:cs="楷体"/>
          <w:b/>
          <w:sz w:val="30"/>
          <w:szCs w:val="30"/>
          <w:lang w:eastAsia="zh-CN"/>
        </w:rPr>
        <w:t>法律意见</w:t>
      </w:r>
    </w:p>
    <w:p>
      <w:pPr>
        <w:adjustRightInd w:val="0"/>
        <w:spacing w:before="156" w:beforeLines="50" w:after="156" w:afterLines="50" w:line="360" w:lineRule="auto"/>
        <w:jc w:val="right"/>
        <w:rPr>
          <w:rFonts w:ascii="Times New Roman" w:hAnsi="Times New Roman" w:eastAsia="宋体" w:cs="宋体"/>
          <w:sz w:val="24"/>
          <w:szCs w:val="24"/>
          <w:lang w:eastAsia="zh-CN"/>
        </w:rPr>
      </w:pPr>
      <w:r>
        <w:rPr>
          <w:rFonts w:ascii="Times New Roman" w:hAnsi="Times New Roman" w:eastAsia="宋体" w:cs="宋体"/>
          <w:sz w:val="24"/>
          <w:szCs w:val="24"/>
          <w:lang w:eastAsia="zh-CN"/>
        </w:rPr>
        <w:t>德恒29F20220056-</w:t>
      </w:r>
      <w:r>
        <w:rPr>
          <w:rFonts w:hint="eastAsia" w:ascii="Times New Roman" w:hAnsi="Times New Roman" w:eastAsia="宋体" w:cs="宋体"/>
          <w:sz w:val="24"/>
          <w:szCs w:val="24"/>
          <w:lang w:eastAsia="zh-CN"/>
        </w:rPr>
        <w:t>0</w:t>
      </w:r>
      <w:r>
        <w:rPr>
          <w:rFonts w:hint="eastAsia" w:ascii="Times New Roman" w:hAnsi="Times New Roman" w:eastAsia="宋体" w:cs="宋体"/>
          <w:sz w:val="24"/>
          <w:szCs w:val="24"/>
          <w:lang w:val="en-US" w:eastAsia="zh-CN"/>
        </w:rPr>
        <w:t>0</w:t>
      </w:r>
      <w:r>
        <w:rPr>
          <w:rFonts w:hint="eastAsia" w:ascii="Times New Roman" w:hAnsi="Times New Roman" w:eastAsia="宋体" w:cs="宋体"/>
          <w:sz w:val="24"/>
          <w:szCs w:val="24"/>
          <w:lang w:eastAsia="zh-CN"/>
        </w:rPr>
        <w:t>3</w:t>
      </w:r>
      <w:r>
        <w:rPr>
          <w:rFonts w:ascii="Times New Roman" w:hAnsi="Times New Roman" w:eastAsia="宋体" w:cs="宋体"/>
          <w:sz w:val="24"/>
          <w:szCs w:val="24"/>
          <w:lang w:eastAsia="zh-CN"/>
        </w:rPr>
        <w:t>号</w:t>
      </w:r>
    </w:p>
    <w:p>
      <w:pPr>
        <w:adjustRightInd w:val="0"/>
        <w:spacing w:before="156" w:beforeLines="50" w:after="156" w:afterLines="50" w:line="360" w:lineRule="auto"/>
        <w:rPr>
          <w:rFonts w:ascii="Times New Roman" w:hAnsi="Times New Roman" w:eastAsia="宋体" w:cs="宋体"/>
          <w:b/>
          <w:bCs/>
          <w:sz w:val="24"/>
          <w:szCs w:val="24"/>
          <w:lang w:eastAsia="zh-CN"/>
        </w:rPr>
      </w:pPr>
      <w:r>
        <w:rPr>
          <w:rFonts w:ascii="Times New Roman" w:hAnsi="Times New Roman" w:eastAsia="宋体" w:cs="宋体"/>
          <w:sz w:val="24"/>
          <w:szCs w:val="24"/>
          <w:lang w:eastAsia="zh-CN"/>
        </w:rPr>
        <w:t xml:space="preserve"> </w:t>
      </w:r>
    </w:p>
    <w:p>
      <w:pPr>
        <w:widowControl w:val="0"/>
        <w:spacing w:before="156" w:beforeLines="50" w:after="156" w:afterLines="50" w:line="360" w:lineRule="auto"/>
        <w:jc w:val="both"/>
        <w:rPr>
          <w:rFonts w:ascii="Times New Roman" w:hAnsi="Times New Roman" w:eastAsia="宋体" w:cs="宋体"/>
          <w:b/>
          <w:color w:val="auto"/>
          <w:kern w:val="13"/>
          <w:sz w:val="24"/>
          <w:szCs w:val="24"/>
          <w:lang w:eastAsia="zh-CN"/>
        </w:rPr>
      </w:pPr>
      <w:r>
        <w:rPr>
          <w:rFonts w:ascii="Times New Roman" w:hAnsi="Times New Roman" w:eastAsia="宋体" w:cs="宋体"/>
          <w:b/>
          <w:color w:val="auto"/>
          <w:kern w:val="13"/>
          <w:sz w:val="24"/>
          <w:szCs w:val="24"/>
          <w:lang w:eastAsia="zh-CN"/>
        </w:rPr>
        <w:t>致：</w:t>
      </w:r>
      <w:r>
        <w:rPr>
          <w:rFonts w:hint="eastAsia" w:ascii="Times New Roman" w:hAnsi="Times New Roman" w:eastAsia="宋体" w:cs="宋体"/>
          <w:b/>
          <w:color w:val="auto"/>
          <w:kern w:val="13"/>
          <w:sz w:val="24"/>
          <w:szCs w:val="24"/>
          <w:lang w:eastAsia="zh-CN"/>
        </w:rPr>
        <w:t>厦门万里石</w:t>
      </w:r>
      <w:r>
        <w:rPr>
          <w:rFonts w:ascii="Times New Roman" w:hAnsi="Times New Roman" w:eastAsia="宋体" w:cs="宋体"/>
          <w:b/>
          <w:color w:val="auto"/>
          <w:kern w:val="13"/>
          <w:sz w:val="24"/>
          <w:szCs w:val="24"/>
          <w:lang w:eastAsia="zh-CN"/>
        </w:rPr>
        <w:t>股份有限公司</w:t>
      </w:r>
    </w:p>
    <w:p>
      <w:pPr>
        <w:widowControl w:val="0"/>
        <w:spacing w:before="156" w:beforeLines="50" w:after="156" w:afterLines="50" w:line="360" w:lineRule="auto"/>
        <w:ind w:firstLine="480" w:firstLineChars="200"/>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ascii="Times New Roman" w:hAnsi="Times New Roman" w:eastAsia="宋体" w:cs="宋体"/>
          <w:color w:val="000000" w:themeColor="text1"/>
          <w:kern w:val="13"/>
          <w:sz w:val="24"/>
          <w:szCs w:val="24"/>
          <w:lang w:eastAsia="zh-CN"/>
          <w14:textFill>
            <w14:solidFill>
              <w14:schemeClr w14:val="tx1"/>
            </w14:solidFill>
          </w14:textFill>
        </w:rPr>
        <w:t>北京德恒律师事务所（以下简称</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本所</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）接受</w:t>
      </w:r>
      <w:r>
        <w:rPr>
          <w:rFonts w:hint="eastAsia" w:ascii="Times New Roman" w:hAnsi="Times New Roman" w:eastAsia="宋体" w:cs="宋体"/>
          <w:color w:val="000000" w:themeColor="text1"/>
          <w:kern w:val="13"/>
          <w:sz w:val="24"/>
          <w:szCs w:val="24"/>
          <w:lang w:eastAsia="zh-CN"/>
          <w14:textFill>
            <w14:solidFill>
              <w14:schemeClr w14:val="tx1"/>
            </w14:solidFill>
          </w14:textFill>
        </w:rPr>
        <w:t>厦门万里石</w:t>
      </w:r>
      <w:r>
        <w:rPr>
          <w:rFonts w:ascii="Times New Roman" w:hAnsi="Times New Roman" w:eastAsia="宋体" w:cs="宋体"/>
          <w:color w:val="000000" w:themeColor="text1"/>
          <w:kern w:val="13"/>
          <w:sz w:val="24"/>
          <w:szCs w:val="24"/>
          <w:lang w:eastAsia="zh-CN"/>
          <w14:textFill>
            <w14:solidFill>
              <w14:schemeClr w14:val="tx1"/>
            </w14:solidFill>
          </w14:textFill>
        </w:rPr>
        <w:t>股份有限公司（以下简称</w:t>
      </w:r>
      <w:r>
        <w:rPr>
          <w:rFonts w:hint="eastAsia" w:ascii="Times New Roman" w:hAnsi="Times New Roman" w:eastAsia="宋体" w:cs="宋体"/>
          <w:color w:val="000000" w:themeColor="text1"/>
          <w:kern w:val="13"/>
          <w:sz w:val="24"/>
          <w:szCs w:val="24"/>
          <w:lang w:eastAsia="zh-CN"/>
          <w14:textFill>
            <w14:solidFill>
              <w14:schemeClr w14:val="tx1"/>
            </w14:solidFill>
          </w14:textFill>
        </w:rPr>
        <w:t>“万里石”</w:t>
      </w:r>
      <w:r>
        <w:rPr>
          <w:rFonts w:ascii="Times New Roman" w:hAnsi="Times New Roman" w:eastAsia="宋体" w:cs="宋体"/>
          <w:color w:val="000000" w:themeColor="text1"/>
          <w:kern w:val="13"/>
          <w:sz w:val="24"/>
          <w:szCs w:val="24"/>
          <w:lang w:eastAsia="zh-CN"/>
          <w14:textFill>
            <w14:solidFill>
              <w14:schemeClr w14:val="tx1"/>
            </w14:solidFill>
          </w14:textFill>
        </w:rPr>
        <w:t>或</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公司</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）委托，担任公司本次实施2022年</w:t>
      </w:r>
      <w:r>
        <w:rPr>
          <w:rFonts w:hint="eastAsia" w:ascii="Times New Roman" w:hAnsi="Times New Roman" w:eastAsia="宋体" w:cs="宋体"/>
          <w:color w:val="000000" w:themeColor="text1"/>
          <w:kern w:val="13"/>
          <w:sz w:val="24"/>
          <w:szCs w:val="24"/>
          <w:lang w:eastAsia="zh-CN"/>
          <w14:textFill>
            <w14:solidFill>
              <w14:schemeClr w14:val="tx1"/>
            </w14:solidFill>
          </w14:textFill>
        </w:rPr>
        <w:t>股票期权与</w:t>
      </w:r>
      <w:r>
        <w:rPr>
          <w:rFonts w:ascii="Times New Roman" w:hAnsi="Times New Roman" w:eastAsia="宋体" w:cs="宋体"/>
          <w:color w:val="000000" w:themeColor="text1"/>
          <w:kern w:val="13"/>
          <w:sz w:val="24"/>
          <w:szCs w:val="24"/>
          <w:lang w:eastAsia="zh-CN"/>
          <w14:textFill>
            <w14:solidFill>
              <w14:schemeClr w14:val="tx1"/>
            </w14:solidFill>
          </w14:textFill>
        </w:rPr>
        <w:t>限制性股票激励计划（以下简称</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本次激励计划</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）的专项法律顾问。本所根据《中华人民共和国公司法》（以下简称《公司法》）</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《中华人民共和国证券法》（以下简称《证券法》）</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《上市公司股权激励管理办法》（以下简称《</w:t>
      </w:r>
      <w:r>
        <w:rPr>
          <w:rFonts w:hint="eastAsia" w:ascii="Times New Roman" w:hAnsi="Times New Roman" w:eastAsia="宋体" w:cs="宋体"/>
          <w:color w:val="000000" w:themeColor="text1"/>
          <w:kern w:val="13"/>
          <w:sz w:val="24"/>
          <w:szCs w:val="24"/>
          <w:lang w:eastAsia="zh-CN"/>
          <w14:textFill>
            <w14:solidFill>
              <w14:schemeClr w14:val="tx1"/>
            </w14:solidFill>
          </w14:textFill>
        </w:rPr>
        <w:t>股权激励</w:t>
      </w:r>
      <w:r>
        <w:rPr>
          <w:rFonts w:ascii="Times New Roman" w:hAnsi="Times New Roman" w:eastAsia="宋体" w:cs="宋体"/>
          <w:color w:val="000000" w:themeColor="text1"/>
          <w:kern w:val="13"/>
          <w:sz w:val="24"/>
          <w:szCs w:val="24"/>
          <w:lang w:eastAsia="zh-CN"/>
          <w14:textFill>
            <w14:solidFill>
              <w14:schemeClr w14:val="tx1"/>
            </w14:solidFill>
          </w14:textFill>
        </w:rPr>
        <w:t>管理办法》）</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kern w:val="13"/>
          <w:sz w:val="24"/>
          <w:szCs w:val="24"/>
          <w:lang w:eastAsia="zh-CN"/>
        </w:rPr>
        <w:t>《深圳证券交易所股票上市规则》（以下简称《上市规则》）</w:t>
      </w:r>
      <w:r>
        <w:rPr>
          <w:rFonts w:ascii="Times New Roman" w:hAnsi="Times New Roman" w:eastAsia="宋体" w:cs="宋体"/>
          <w:color w:val="000000" w:themeColor="text1"/>
          <w:kern w:val="13"/>
          <w:sz w:val="24"/>
          <w:szCs w:val="24"/>
          <w:lang w:eastAsia="zh-CN"/>
          <w14:textFill>
            <w14:solidFill>
              <w14:schemeClr w14:val="tx1"/>
            </w14:solidFill>
          </w14:textFill>
        </w:rPr>
        <w:t>等法律、法规、部门规章、规范性文件</w:t>
      </w:r>
      <w:r>
        <w:rPr>
          <w:rFonts w:hint="eastAsia" w:ascii="Times New Roman" w:hAnsi="Times New Roman" w:eastAsia="宋体" w:cs="宋体"/>
          <w:color w:val="000000" w:themeColor="text1"/>
          <w:kern w:val="13"/>
          <w:sz w:val="24"/>
          <w:szCs w:val="24"/>
          <w:lang w:eastAsia="zh-CN"/>
          <w14:textFill>
            <w14:solidFill>
              <w14:schemeClr w14:val="tx1"/>
            </w14:solidFill>
          </w14:textFill>
        </w:rPr>
        <w:t>及</w:t>
      </w:r>
      <w:r>
        <w:rPr>
          <w:rFonts w:ascii="Times New Roman" w:hAnsi="Times New Roman" w:eastAsia="宋体" w:cs="宋体"/>
          <w:kern w:val="13"/>
          <w:sz w:val="24"/>
          <w:szCs w:val="24"/>
          <w:lang w:eastAsia="zh-CN"/>
        </w:rPr>
        <w:t>《厦门万里石股份有限公司章程》</w:t>
      </w:r>
      <w:r>
        <w:rPr>
          <w:rFonts w:ascii="Times New Roman" w:hAnsi="Times New Roman" w:eastAsia="宋体" w:cs="宋体"/>
          <w:color w:val="000000" w:themeColor="text1"/>
          <w:kern w:val="13"/>
          <w:sz w:val="24"/>
          <w:szCs w:val="24"/>
          <w:lang w:eastAsia="zh-CN"/>
          <w14:textFill>
            <w14:solidFill>
              <w14:schemeClr w14:val="tx1"/>
            </w14:solidFill>
          </w14:textFill>
        </w:rPr>
        <w:t>（以下简称《公司章程》）</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sz w:val="24"/>
          <w:lang w:eastAsia="zh-CN"/>
        </w:rPr>
        <w:t>《厦门万里石股份有限公司2022年股票期权与限制性股票激励计划》</w:t>
      </w:r>
      <w:r>
        <w:rPr>
          <w:rFonts w:hint="eastAsia" w:ascii="Times New Roman" w:hAnsi="Times New Roman" w:eastAsia="宋体" w:cs="宋体"/>
          <w:sz w:val="24"/>
          <w:lang w:eastAsia="zh-CN"/>
        </w:rPr>
        <w:t>（以下简称《激励计划》）</w:t>
      </w:r>
      <w:r>
        <w:rPr>
          <w:rFonts w:ascii="Times New Roman" w:hAnsi="Times New Roman" w:eastAsia="宋体" w:cs="宋体"/>
          <w:color w:val="000000" w:themeColor="text1"/>
          <w:kern w:val="13"/>
          <w:sz w:val="24"/>
          <w:szCs w:val="24"/>
          <w:lang w:eastAsia="zh-CN"/>
          <w14:textFill>
            <w14:solidFill>
              <w14:schemeClr w14:val="tx1"/>
            </w14:solidFill>
          </w14:textFill>
        </w:rPr>
        <w:t>的有关规定，就公司本次激励计划</w:t>
      </w:r>
      <w:r>
        <w:rPr>
          <w:rFonts w:hint="eastAsia" w:ascii="Times New Roman" w:hAnsi="Times New Roman" w:eastAsia="宋体" w:cs="宋体"/>
          <w:color w:val="000000" w:themeColor="text1"/>
          <w:kern w:val="13"/>
          <w:sz w:val="24"/>
          <w:szCs w:val="24"/>
          <w:lang w:eastAsia="zh-CN"/>
          <w14:textFill>
            <w14:solidFill>
              <w14:schemeClr w14:val="tx1"/>
            </w14:solidFill>
          </w14:textFill>
        </w:rPr>
        <w:t>预留</w:t>
      </w:r>
      <w:r>
        <w:rPr>
          <w:rFonts w:ascii="Times New Roman" w:hAnsi="Times New Roman" w:eastAsia="宋体" w:cs="宋体"/>
          <w:color w:val="000000" w:themeColor="text1"/>
          <w:kern w:val="13"/>
          <w:sz w:val="24"/>
          <w:szCs w:val="24"/>
          <w:lang w:eastAsia="zh-CN"/>
          <w14:textFill>
            <w14:solidFill>
              <w14:schemeClr w14:val="tx1"/>
            </w14:solidFill>
          </w14:textFill>
        </w:rPr>
        <w:t>授予</w:t>
      </w:r>
      <w:r>
        <w:rPr>
          <w:rFonts w:hint="eastAsia" w:ascii="Times New Roman" w:hAnsi="Times New Roman" w:eastAsia="宋体" w:cs="宋体"/>
          <w:color w:val="000000" w:themeColor="text1"/>
          <w:kern w:val="13"/>
          <w:sz w:val="24"/>
          <w:szCs w:val="24"/>
          <w:lang w:eastAsia="zh-CN"/>
          <w14:textFill>
            <w14:solidFill>
              <w14:schemeClr w14:val="tx1"/>
            </w14:solidFill>
          </w14:textFill>
        </w:rPr>
        <w:t>股票期权</w:t>
      </w:r>
      <w:r>
        <w:rPr>
          <w:rFonts w:ascii="Times New Roman" w:hAnsi="Times New Roman" w:eastAsia="宋体" w:cs="宋体"/>
          <w:color w:val="000000" w:themeColor="text1"/>
          <w:kern w:val="13"/>
          <w:sz w:val="24"/>
          <w:szCs w:val="24"/>
          <w:lang w:eastAsia="zh-CN"/>
          <w14:textFill>
            <w14:solidFill>
              <w14:schemeClr w14:val="tx1"/>
            </w14:solidFill>
          </w14:textFill>
        </w:rPr>
        <w:t>（以下简称</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本次授予</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w:t>
      </w:r>
      <w:r>
        <w:rPr>
          <w:rFonts w:hint="eastAsia" w:ascii="Times New Roman" w:hAnsi="Times New Roman" w:eastAsia="宋体" w:cs="宋体"/>
          <w:color w:val="000000" w:themeColor="text1"/>
          <w:kern w:val="13"/>
          <w:sz w:val="24"/>
          <w:szCs w:val="24"/>
          <w:lang w:eastAsia="zh-CN"/>
          <w14:textFill>
            <w14:solidFill>
              <w14:schemeClr w14:val="tx1"/>
            </w14:solidFill>
          </w14:textFill>
        </w:rPr>
        <w:t>的</w:t>
      </w:r>
      <w:r>
        <w:rPr>
          <w:rFonts w:ascii="Times New Roman" w:hAnsi="Times New Roman" w:eastAsia="宋体" w:cs="宋体"/>
          <w:color w:val="000000" w:themeColor="text1"/>
          <w:kern w:val="13"/>
          <w:sz w:val="24"/>
          <w:szCs w:val="24"/>
          <w:lang w:eastAsia="zh-CN"/>
          <w14:textFill>
            <w14:solidFill>
              <w14:schemeClr w14:val="tx1"/>
            </w14:solidFill>
          </w14:textFill>
        </w:rPr>
        <w:t>相关事项出具本法律意见</w:t>
      </w:r>
      <w:r>
        <w:rPr>
          <w:rFonts w:hint="eastAsia" w:ascii="Times New Roman" w:hAnsi="Times New Roman" w:eastAsia="宋体" w:cs="宋体"/>
          <w:color w:val="000000" w:themeColor="text1"/>
          <w:kern w:val="13"/>
          <w:sz w:val="24"/>
          <w:szCs w:val="24"/>
          <w:lang w:eastAsia="zh-CN"/>
          <w14:textFill>
            <w14:solidFill>
              <w14:schemeClr w14:val="tx1"/>
            </w14:solidFill>
          </w14:textFill>
        </w:rPr>
        <w:t>（以下简称“本法律意见”）</w:t>
      </w:r>
      <w:r>
        <w:rPr>
          <w:rFonts w:ascii="Times New Roman" w:hAnsi="Times New Roman" w:eastAsia="宋体" w:cs="宋体"/>
          <w:color w:val="000000" w:themeColor="text1"/>
          <w:kern w:val="13"/>
          <w:sz w:val="24"/>
          <w:szCs w:val="24"/>
          <w:lang w:eastAsia="zh-CN"/>
          <w14:textFill>
            <w14:solidFill>
              <w14:schemeClr w14:val="tx1"/>
            </w14:solidFill>
          </w14:textFill>
        </w:rPr>
        <w:t>。</w:t>
      </w:r>
    </w:p>
    <w:p>
      <w:pPr>
        <w:widowControl w:val="0"/>
        <w:spacing w:before="156" w:beforeLines="50" w:after="156" w:afterLines="50" w:line="360" w:lineRule="auto"/>
        <w:ind w:firstLine="480" w:firstLineChars="200"/>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hint="eastAsia" w:ascii="Times New Roman" w:hAnsi="Times New Roman" w:eastAsia="宋体" w:cs="宋体"/>
          <w:color w:val="000000" w:themeColor="text1"/>
          <w:kern w:val="13"/>
          <w:sz w:val="24"/>
          <w:szCs w:val="24"/>
          <w:lang w:eastAsia="zh-CN"/>
          <w14:textFill>
            <w14:solidFill>
              <w14:schemeClr w14:val="tx1"/>
            </w14:solidFill>
          </w14:textFill>
        </w:rPr>
        <w:t>对</w:t>
      </w:r>
      <w:r>
        <w:rPr>
          <w:rFonts w:ascii="Times New Roman" w:hAnsi="Times New Roman" w:eastAsia="宋体" w:cs="宋体"/>
          <w:color w:val="000000" w:themeColor="text1"/>
          <w:kern w:val="13"/>
          <w:sz w:val="24"/>
          <w:szCs w:val="24"/>
          <w:lang w:eastAsia="zh-CN"/>
          <w14:textFill>
            <w14:solidFill>
              <w14:schemeClr w14:val="tx1"/>
            </w14:solidFill>
          </w14:textFill>
        </w:rPr>
        <w:t>本法律意见</w:t>
      </w:r>
      <w:r>
        <w:rPr>
          <w:rFonts w:hint="eastAsia" w:ascii="Times New Roman" w:hAnsi="Times New Roman" w:eastAsia="宋体" w:cs="宋体"/>
          <w:color w:val="000000" w:themeColor="text1"/>
          <w:kern w:val="13"/>
          <w:sz w:val="24"/>
          <w:szCs w:val="24"/>
          <w:lang w:eastAsia="zh-CN"/>
          <w14:textFill>
            <w14:solidFill>
              <w14:schemeClr w14:val="tx1"/>
            </w14:solidFill>
          </w14:textFill>
        </w:rPr>
        <w:t>，本所律师作出如下声明</w:t>
      </w:r>
      <w:r>
        <w:rPr>
          <w:rFonts w:ascii="Times New Roman" w:hAnsi="Times New Roman" w:eastAsia="宋体" w:cs="宋体"/>
          <w:color w:val="000000" w:themeColor="text1"/>
          <w:kern w:val="13"/>
          <w:sz w:val="24"/>
          <w:szCs w:val="24"/>
          <w:lang w:eastAsia="zh-CN"/>
          <w14:textFill>
            <w14:solidFill>
              <w14:schemeClr w14:val="tx1"/>
            </w14:solidFill>
          </w14:textFill>
        </w:rPr>
        <w:t>：</w:t>
      </w:r>
    </w:p>
    <w:p>
      <w:pPr>
        <w:widowControl w:val="0"/>
        <w:numPr>
          <w:ilvl w:val="0"/>
          <w:numId w:val="1"/>
        </w:numPr>
        <w:spacing w:before="156" w:beforeLines="50" w:after="156" w:afterLines="50" w:line="360" w:lineRule="auto"/>
        <w:ind w:left="0" w:firstLine="425"/>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ascii="Times New Roman" w:hAnsi="Times New Roman" w:eastAsia="宋体" w:cs="宋体"/>
          <w:color w:val="000000" w:themeColor="text1"/>
          <w:kern w:val="13"/>
          <w:sz w:val="24"/>
          <w:szCs w:val="24"/>
          <w:lang w:eastAsia="zh-CN"/>
          <w14:textFill>
            <w14:solidFill>
              <w14:schemeClr w14:val="tx1"/>
            </w14:solidFill>
          </w14:textFill>
        </w:rPr>
        <w:t>本所律师依据《证券法》《律师事务所从事证券法律业务管理办法》和《律师事务所证券法律业务执业规则（试行）》等规定及本法律意见出具日以前已经发生或者存在的事实</w:t>
      </w:r>
      <w:r>
        <w:rPr>
          <w:rFonts w:hint="eastAsia" w:ascii="Times New Roman" w:hAnsi="Times New Roman" w:eastAsia="宋体" w:cs="宋体"/>
          <w:color w:val="000000" w:themeColor="text1"/>
          <w:kern w:val="13"/>
          <w:sz w:val="24"/>
          <w:szCs w:val="24"/>
          <w:lang w:eastAsia="zh-CN"/>
          <w14:textFill>
            <w14:solidFill>
              <w14:schemeClr w14:val="tx1"/>
            </w14:solidFill>
          </w14:textFill>
        </w:rPr>
        <w:t>以及国家现行法律、法规、规范性文件和</w:t>
      </w:r>
      <w:r>
        <w:rPr>
          <w:rFonts w:ascii="Times New Roman" w:hAnsi="Times New Roman" w:eastAsia="宋体" w:cs="宋体"/>
          <w:color w:val="000000" w:themeColor="text1"/>
          <w:kern w:val="13"/>
          <w:sz w:val="24"/>
          <w:szCs w:val="24"/>
          <w:lang w:eastAsia="zh-CN"/>
          <w14:textFill>
            <w14:solidFill>
              <w14:schemeClr w14:val="tx1"/>
            </w14:solidFill>
          </w14:textFill>
        </w:rPr>
        <w:t>中国证券监督管理委员会（以下简称</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中国证监会</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w:t>
      </w:r>
      <w:r>
        <w:rPr>
          <w:rFonts w:hint="eastAsia" w:ascii="Times New Roman" w:hAnsi="Times New Roman" w:eastAsia="宋体" w:cs="宋体"/>
          <w:color w:val="000000" w:themeColor="text1"/>
          <w:kern w:val="13"/>
          <w:sz w:val="24"/>
          <w:szCs w:val="24"/>
          <w:lang w:eastAsia="zh-CN"/>
          <w14:textFill>
            <w14:solidFill>
              <w14:schemeClr w14:val="tx1"/>
            </w14:solidFill>
          </w14:textFill>
        </w:rPr>
        <w:t>的有关规定发表法律意见。</w:t>
      </w:r>
    </w:p>
    <w:p>
      <w:pPr>
        <w:widowControl w:val="0"/>
        <w:numPr>
          <w:ilvl w:val="0"/>
          <w:numId w:val="1"/>
        </w:numPr>
        <w:spacing w:before="156" w:beforeLines="50" w:after="156" w:afterLines="50" w:line="360" w:lineRule="auto"/>
        <w:ind w:left="0" w:firstLine="425"/>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hint="eastAsia" w:ascii="Times New Roman" w:hAnsi="Times New Roman" w:eastAsia="宋体" w:cs="宋体"/>
          <w:color w:val="000000" w:themeColor="text1"/>
          <w:kern w:val="13"/>
          <w:sz w:val="24"/>
          <w:szCs w:val="24"/>
          <w:lang w:eastAsia="zh-CN"/>
          <w14:textFill>
            <w14:solidFill>
              <w14:schemeClr w14:val="tx1"/>
            </w14:solidFill>
          </w14:textFill>
        </w:rPr>
        <w:t>本所律师承诺已</w:t>
      </w:r>
      <w:r>
        <w:rPr>
          <w:rFonts w:ascii="Times New Roman" w:hAnsi="Times New Roman" w:eastAsia="宋体" w:cs="宋体"/>
          <w:color w:val="000000" w:themeColor="text1"/>
          <w:kern w:val="13"/>
          <w:sz w:val="24"/>
          <w:szCs w:val="24"/>
          <w:lang w:eastAsia="zh-CN"/>
          <w14:textFill>
            <w14:solidFill>
              <w14:schemeClr w14:val="tx1"/>
            </w14:solidFill>
          </w14:textFill>
        </w:rPr>
        <w:t>严格履行了法定职责，遵循了勤勉尽责和诚实信用原则，</w:t>
      </w:r>
      <w:r>
        <w:rPr>
          <w:rFonts w:hint="eastAsia" w:ascii="Times New Roman" w:hAnsi="Times New Roman" w:eastAsia="宋体" w:cs="宋体"/>
          <w:color w:val="000000" w:themeColor="text1"/>
          <w:kern w:val="13"/>
          <w:sz w:val="24"/>
          <w:szCs w:val="24"/>
          <w:lang w:eastAsia="zh-CN"/>
          <w14:textFill>
            <w14:solidFill>
              <w14:schemeClr w14:val="tx1"/>
            </w14:solidFill>
          </w14:textFill>
        </w:rPr>
        <w:t>对公司的行为以及本次授予的合法、合规、真实、有效进行了充分的核查验证，</w:t>
      </w:r>
      <w:r>
        <w:rPr>
          <w:rFonts w:ascii="Times New Roman" w:hAnsi="Times New Roman" w:eastAsia="宋体" w:cs="宋体"/>
          <w:color w:val="000000" w:themeColor="text1"/>
          <w:kern w:val="13"/>
          <w:sz w:val="24"/>
          <w:szCs w:val="24"/>
          <w:lang w:eastAsia="zh-CN"/>
          <w14:textFill>
            <w14:solidFill>
              <w14:schemeClr w14:val="tx1"/>
            </w14:solidFill>
          </w14:textFill>
        </w:rPr>
        <w:t>保证本法律意见所认定的事实真实、准确、完整，所发表的结论性意见合法、准确，不存在虚假记载、误导性陈述或者重大遗漏</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p>
    <w:p>
      <w:pPr>
        <w:widowControl w:val="0"/>
        <w:numPr>
          <w:ilvl w:val="0"/>
          <w:numId w:val="1"/>
        </w:numPr>
        <w:spacing w:before="156" w:beforeLines="50" w:after="156" w:afterLines="50" w:line="360" w:lineRule="auto"/>
        <w:ind w:left="0" w:firstLine="425"/>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hint="eastAsia" w:ascii="Times New Roman" w:hAnsi="Times New Roman" w:eastAsia="宋体" w:cs="宋体"/>
          <w:color w:val="000000" w:themeColor="text1"/>
          <w:kern w:val="13"/>
          <w:sz w:val="24"/>
          <w:szCs w:val="24"/>
          <w:lang w:eastAsia="zh-CN"/>
          <w14:textFill>
            <w14:solidFill>
              <w14:schemeClr w14:val="tx1"/>
            </w14:solidFill>
          </w14:textFill>
        </w:rPr>
        <w:t>本所律师在工作过程中，已得到公司的保证：即</w:t>
      </w:r>
      <w:r>
        <w:rPr>
          <w:rFonts w:ascii="Times New Roman" w:hAnsi="Times New Roman" w:eastAsia="宋体" w:cs="宋体"/>
          <w:color w:val="000000" w:themeColor="text1"/>
          <w:kern w:val="13"/>
          <w:sz w:val="24"/>
          <w:szCs w:val="24"/>
          <w:lang w:eastAsia="zh-CN"/>
          <w14:textFill>
            <w14:solidFill>
              <w14:schemeClr w14:val="tx1"/>
            </w14:solidFill>
          </w14:textFill>
        </w:rPr>
        <w:t>公司已经向本所提供了为出具本法律意见所要求公司提供的原始书面材料、副本材料、复印材料、确认函或证明；公司提供给本所的文件和材料是真实、准确、完整和有效的，不存在虚假记载、误导性陈述和重大遗漏之处；文件材料为副本或复印件的，与原件一致</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p>
    <w:p>
      <w:pPr>
        <w:widowControl w:val="0"/>
        <w:numPr>
          <w:ilvl w:val="0"/>
          <w:numId w:val="1"/>
        </w:numPr>
        <w:spacing w:before="156" w:beforeLines="50" w:after="156" w:afterLines="50" w:line="360" w:lineRule="auto"/>
        <w:ind w:left="0" w:firstLine="425"/>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ascii="Times New Roman" w:hAnsi="Times New Roman" w:eastAsia="宋体" w:cs="宋体"/>
          <w:color w:val="000000" w:themeColor="text1"/>
          <w:kern w:val="13"/>
          <w:sz w:val="24"/>
          <w:szCs w:val="24"/>
          <w:lang w:eastAsia="zh-CN"/>
          <w14:textFill>
            <w14:solidFill>
              <w14:schemeClr w14:val="tx1"/>
            </w14:solidFill>
          </w14:textFill>
        </w:rPr>
        <w:t>本所不对公司本次</w:t>
      </w:r>
      <w:r>
        <w:rPr>
          <w:rFonts w:hint="eastAsia" w:ascii="Times New Roman" w:hAnsi="Times New Roman" w:eastAsia="宋体" w:cs="宋体"/>
          <w:color w:val="000000" w:themeColor="text1"/>
          <w:kern w:val="13"/>
          <w:sz w:val="24"/>
          <w:szCs w:val="24"/>
          <w:lang w:eastAsia="zh-CN"/>
          <w14:textFill>
            <w14:solidFill>
              <w14:schemeClr w14:val="tx1"/>
            </w14:solidFill>
          </w14:textFill>
        </w:rPr>
        <w:t>授予</w:t>
      </w:r>
      <w:r>
        <w:rPr>
          <w:rFonts w:ascii="Times New Roman" w:hAnsi="Times New Roman" w:eastAsia="宋体" w:cs="宋体"/>
          <w:color w:val="000000" w:themeColor="text1"/>
          <w:kern w:val="13"/>
          <w:sz w:val="24"/>
          <w:szCs w:val="24"/>
          <w:lang w:eastAsia="zh-CN"/>
          <w14:textFill>
            <w14:solidFill>
              <w14:schemeClr w14:val="tx1"/>
            </w14:solidFill>
          </w14:textFill>
        </w:rPr>
        <w:t>所涉及的标的股票价值、考核标准等问题的合理性以及会计、财务等非法律专业事项发表意见。在本法律意见中对有关财务数据或结论进行引述时，本所</w:t>
      </w:r>
      <w:r>
        <w:rPr>
          <w:rFonts w:hint="eastAsia" w:ascii="Times New Roman" w:hAnsi="Times New Roman" w:eastAsia="宋体" w:cs="宋体"/>
          <w:color w:val="000000" w:themeColor="text1"/>
          <w:kern w:val="13"/>
          <w:sz w:val="24"/>
          <w:szCs w:val="24"/>
          <w:lang w:eastAsia="zh-CN"/>
          <w14:textFill>
            <w14:solidFill>
              <w14:schemeClr w14:val="tx1"/>
            </w14:solidFill>
          </w14:textFill>
        </w:rPr>
        <w:t>已</w:t>
      </w:r>
      <w:r>
        <w:rPr>
          <w:rFonts w:ascii="Times New Roman" w:hAnsi="Times New Roman" w:eastAsia="宋体" w:cs="宋体"/>
          <w:color w:val="000000" w:themeColor="text1"/>
          <w:kern w:val="13"/>
          <w:sz w:val="24"/>
          <w:szCs w:val="24"/>
          <w:lang w:eastAsia="zh-CN"/>
          <w14:textFill>
            <w14:solidFill>
              <w14:schemeClr w14:val="tx1"/>
            </w14:solidFill>
          </w14:textFill>
        </w:rPr>
        <w:t>履行了必要的注意义务，但该等引述不应视为本所对这些数据、结论的真实性和准确性作出任何明示或默示的保证。对于出具本法律意见至关重要而又无法得到独立证据支持的事实，本所依赖</w:t>
      </w:r>
      <w:r>
        <w:rPr>
          <w:rFonts w:hint="eastAsia" w:ascii="Times New Roman" w:hAnsi="Times New Roman" w:eastAsia="宋体" w:cs="宋体"/>
          <w:color w:val="000000" w:themeColor="text1"/>
          <w:kern w:val="13"/>
          <w:sz w:val="24"/>
          <w:szCs w:val="24"/>
          <w:lang w:eastAsia="zh-CN"/>
          <w14:textFill>
            <w14:solidFill>
              <w14:schemeClr w14:val="tx1"/>
            </w14:solidFill>
          </w14:textFill>
        </w:rPr>
        <w:t>公司</w:t>
      </w:r>
      <w:r>
        <w:rPr>
          <w:rFonts w:ascii="Times New Roman" w:hAnsi="Times New Roman" w:eastAsia="宋体" w:cs="宋体"/>
          <w:color w:val="000000" w:themeColor="text1"/>
          <w:kern w:val="13"/>
          <w:sz w:val="24"/>
          <w:szCs w:val="24"/>
          <w:lang w:eastAsia="zh-CN"/>
          <w14:textFill>
            <w14:solidFill>
              <w14:schemeClr w14:val="tx1"/>
            </w14:solidFill>
          </w14:textFill>
        </w:rPr>
        <w:t>或本次</w:t>
      </w:r>
      <w:r>
        <w:rPr>
          <w:rFonts w:hint="eastAsia" w:ascii="Times New Roman" w:hAnsi="Times New Roman" w:eastAsia="宋体" w:cs="宋体"/>
          <w:color w:val="000000" w:themeColor="text1"/>
          <w:kern w:val="13"/>
          <w:sz w:val="24"/>
          <w:szCs w:val="24"/>
          <w:lang w:eastAsia="zh-CN"/>
          <w14:textFill>
            <w14:solidFill>
              <w14:schemeClr w14:val="tx1"/>
            </w14:solidFill>
          </w14:textFill>
        </w:rPr>
        <w:t>授予</w:t>
      </w:r>
      <w:r>
        <w:rPr>
          <w:rFonts w:ascii="Times New Roman" w:hAnsi="Times New Roman" w:eastAsia="宋体" w:cs="宋体"/>
          <w:color w:val="000000" w:themeColor="text1"/>
          <w:kern w:val="13"/>
          <w:sz w:val="24"/>
          <w:szCs w:val="24"/>
          <w:lang w:eastAsia="zh-CN"/>
          <w14:textFill>
            <w14:solidFill>
              <w14:schemeClr w14:val="tx1"/>
            </w14:solidFill>
          </w14:textFill>
        </w:rPr>
        <w:t>对象出具的说明或证明文件出具法律意见。</w:t>
      </w:r>
    </w:p>
    <w:p>
      <w:pPr>
        <w:widowControl w:val="0"/>
        <w:numPr>
          <w:ilvl w:val="0"/>
          <w:numId w:val="1"/>
        </w:numPr>
        <w:spacing w:before="156" w:beforeLines="50" w:after="156" w:afterLines="50" w:line="360" w:lineRule="auto"/>
        <w:ind w:left="0" w:firstLine="425"/>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ascii="Times New Roman" w:hAnsi="Times New Roman" w:eastAsia="宋体" w:cs="宋体"/>
          <w:color w:val="000000" w:themeColor="text1"/>
          <w:kern w:val="13"/>
          <w:sz w:val="24"/>
          <w:szCs w:val="24"/>
          <w:lang w:eastAsia="zh-CN"/>
          <w14:textFill>
            <w14:solidFill>
              <w14:schemeClr w14:val="tx1"/>
            </w14:solidFill>
          </w14:textFill>
        </w:rPr>
        <w:t>本所</w:t>
      </w:r>
      <w:r>
        <w:rPr>
          <w:rFonts w:hint="eastAsia" w:ascii="Times New Roman" w:hAnsi="Times New Roman" w:eastAsia="宋体" w:cs="宋体"/>
          <w:color w:val="000000" w:themeColor="text1"/>
          <w:kern w:val="13"/>
          <w:sz w:val="24"/>
          <w:szCs w:val="24"/>
          <w:lang w:eastAsia="zh-CN"/>
          <w14:textFill>
            <w14:solidFill>
              <w14:schemeClr w14:val="tx1"/>
            </w14:solidFill>
          </w14:textFill>
        </w:rPr>
        <w:t>律师</w:t>
      </w:r>
      <w:r>
        <w:rPr>
          <w:rFonts w:ascii="Times New Roman" w:hAnsi="Times New Roman" w:eastAsia="宋体" w:cs="宋体"/>
          <w:color w:val="000000" w:themeColor="text1"/>
          <w:kern w:val="13"/>
          <w:sz w:val="24"/>
          <w:szCs w:val="24"/>
          <w:lang w:eastAsia="zh-CN"/>
          <w14:textFill>
            <w14:solidFill>
              <w14:schemeClr w14:val="tx1"/>
            </w14:solidFill>
          </w14:textFill>
        </w:rPr>
        <w:t>同意公司将本法律意见作为其实行本次</w:t>
      </w:r>
      <w:r>
        <w:rPr>
          <w:rFonts w:hint="eastAsia" w:ascii="Times New Roman" w:hAnsi="Times New Roman" w:eastAsia="宋体" w:cs="宋体"/>
          <w:color w:val="000000" w:themeColor="text1"/>
          <w:kern w:val="13"/>
          <w:sz w:val="24"/>
          <w:szCs w:val="24"/>
          <w:lang w:eastAsia="zh-CN"/>
          <w14:textFill>
            <w14:solidFill>
              <w14:schemeClr w14:val="tx1"/>
            </w14:solidFill>
          </w14:textFill>
        </w:rPr>
        <w:t>授予</w:t>
      </w:r>
      <w:r>
        <w:rPr>
          <w:rFonts w:ascii="Times New Roman" w:hAnsi="Times New Roman" w:eastAsia="宋体" w:cs="宋体"/>
          <w:color w:val="000000" w:themeColor="text1"/>
          <w:kern w:val="13"/>
          <w:sz w:val="24"/>
          <w:szCs w:val="24"/>
          <w:lang w:eastAsia="zh-CN"/>
          <w14:textFill>
            <w14:solidFill>
              <w14:schemeClr w14:val="tx1"/>
            </w14:solidFill>
          </w14:textFill>
        </w:rPr>
        <w:t>的必备文件之一，随其他材料一起提交</w:t>
      </w:r>
      <w:r>
        <w:rPr>
          <w:rFonts w:hint="eastAsia" w:ascii="Times New Roman" w:hAnsi="Times New Roman" w:eastAsia="宋体" w:cs="宋体"/>
          <w:color w:val="000000" w:themeColor="text1"/>
          <w:kern w:val="13"/>
          <w:sz w:val="24"/>
          <w:szCs w:val="24"/>
          <w:lang w:eastAsia="zh-CN"/>
          <w14:textFill>
            <w14:solidFill>
              <w14:schemeClr w14:val="tx1"/>
            </w14:solidFill>
          </w14:textFill>
        </w:rPr>
        <w:t>深圳</w:t>
      </w:r>
      <w:r>
        <w:rPr>
          <w:rFonts w:ascii="Times New Roman" w:hAnsi="Times New Roman" w:eastAsia="宋体" w:cs="宋体"/>
          <w:color w:val="000000" w:themeColor="text1"/>
          <w:kern w:val="13"/>
          <w:sz w:val="24"/>
          <w:szCs w:val="24"/>
          <w:lang w:eastAsia="zh-CN"/>
          <w14:textFill>
            <w14:solidFill>
              <w14:schemeClr w14:val="tx1"/>
            </w14:solidFill>
          </w14:textFill>
        </w:rPr>
        <w:t>证券交易所予以公告，并对所出具的法律意见承担相应法律责任。</w:t>
      </w:r>
    </w:p>
    <w:p>
      <w:pPr>
        <w:widowControl w:val="0"/>
        <w:numPr>
          <w:ilvl w:val="0"/>
          <w:numId w:val="1"/>
        </w:numPr>
        <w:spacing w:before="156" w:beforeLines="50" w:after="156" w:afterLines="50" w:line="360" w:lineRule="auto"/>
        <w:ind w:left="0" w:firstLine="425"/>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ascii="Times New Roman" w:hAnsi="Times New Roman" w:eastAsia="宋体" w:cs="宋体"/>
          <w:color w:val="000000" w:themeColor="text1"/>
          <w:kern w:val="13"/>
          <w:sz w:val="24"/>
          <w:szCs w:val="24"/>
          <w:lang w:eastAsia="zh-CN"/>
          <w14:textFill>
            <w14:solidFill>
              <w14:schemeClr w14:val="tx1"/>
            </w14:solidFill>
          </w14:textFill>
        </w:rPr>
        <w:t>本法律意见仅供公司为实行本次</w:t>
      </w:r>
      <w:r>
        <w:rPr>
          <w:rFonts w:hint="eastAsia" w:ascii="Times New Roman" w:hAnsi="Times New Roman" w:eastAsia="宋体" w:cs="宋体"/>
          <w:color w:val="000000" w:themeColor="text1"/>
          <w:kern w:val="13"/>
          <w:sz w:val="24"/>
          <w:szCs w:val="24"/>
          <w:lang w:eastAsia="zh-CN"/>
          <w14:textFill>
            <w14:solidFill>
              <w14:schemeClr w14:val="tx1"/>
            </w14:solidFill>
          </w14:textFill>
        </w:rPr>
        <w:t>授予</w:t>
      </w:r>
      <w:r>
        <w:rPr>
          <w:rFonts w:ascii="Times New Roman" w:hAnsi="Times New Roman" w:eastAsia="宋体" w:cs="宋体"/>
          <w:color w:val="000000" w:themeColor="text1"/>
          <w:kern w:val="13"/>
          <w:sz w:val="24"/>
          <w:szCs w:val="24"/>
          <w:lang w:eastAsia="zh-CN"/>
          <w14:textFill>
            <w14:solidFill>
              <w14:schemeClr w14:val="tx1"/>
            </w14:solidFill>
          </w14:textFill>
        </w:rPr>
        <w:t>之目的使用，不得用作任何其他目的。本所同意公司在其为实行本次</w:t>
      </w:r>
      <w:r>
        <w:rPr>
          <w:rFonts w:hint="eastAsia" w:ascii="Times New Roman" w:hAnsi="Times New Roman" w:eastAsia="宋体" w:cs="宋体"/>
          <w:color w:val="000000" w:themeColor="text1"/>
          <w:kern w:val="13"/>
          <w:sz w:val="24"/>
          <w:szCs w:val="24"/>
          <w:lang w:eastAsia="zh-CN"/>
          <w14:textFill>
            <w14:solidFill>
              <w14:schemeClr w14:val="tx1"/>
            </w14:solidFill>
          </w14:textFill>
        </w:rPr>
        <w:t>授予</w:t>
      </w:r>
      <w:r>
        <w:rPr>
          <w:rFonts w:ascii="Times New Roman" w:hAnsi="Times New Roman" w:eastAsia="宋体" w:cs="宋体"/>
          <w:color w:val="000000" w:themeColor="text1"/>
          <w:kern w:val="13"/>
          <w:sz w:val="24"/>
          <w:szCs w:val="24"/>
          <w:lang w:eastAsia="zh-CN"/>
          <w14:textFill>
            <w14:solidFill>
              <w14:schemeClr w14:val="tx1"/>
            </w14:solidFill>
          </w14:textFill>
        </w:rPr>
        <w:t>所制作的相关文件中引用本法律意见的相关内容，但公司作上述引用时，不得因引用而导致法律上的歧义或曲解，本所有权对上述相关文件的相应内容再次审阅并确认。</w:t>
      </w:r>
    </w:p>
    <w:p>
      <w:pPr>
        <w:widowControl w:val="0"/>
        <w:numPr>
          <w:ilvl w:val="255"/>
          <w:numId w:val="0"/>
        </w:numPr>
        <w:spacing w:before="156" w:beforeLines="50" w:after="156" w:afterLines="50" w:line="360" w:lineRule="auto"/>
        <w:ind w:firstLine="480" w:firstLineChars="200"/>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ascii="Times New Roman" w:hAnsi="Times New Roman" w:eastAsia="宋体" w:cs="宋体"/>
          <w:color w:val="000000" w:themeColor="text1"/>
          <w:kern w:val="13"/>
          <w:sz w:val="24"/>
          <w:szCs w:val="24"/>
          <w:lang w:eastAsia="zh-CN"/>
          <w14:textFill>
            <w14:solidFill>
              <w14:schemeClr w14:val="tx1"/>
            </w14:solidFill>
          </w14:textFill>
        </w:rPr>
        <w:t>本所律师根据有关法律</w:t>
      </w:r>
      <w:r>
        <w:rPr>
          <w:rFonts w:hint="eastAsia" w:ascii="Times New Roman" w:hAnsi="Times New Roman" w:eastAsia="宋体" w:cs="宋体"/>
          <w:color w:val="000000" w:themeColor="text1"/>
          <w:kern w:val="13"/>
          <w:sz w:val="24"/>
          <w:szCs w:val="24"/>
          <w:lang w:eastAsia="zh-CN"/>
          <w14:textFill>
            <w14:solidFill>
              <w14:schemeClr w14:val="tx1"/>
            </w14:solidFill>
          </w14:textFill>
        </w:rPr>
        <w:t>、</w:t>
      </w:r>
      <w:r>
        <w:rPr>
          <w:rFonts w:ascii="Times New Roman" w:hAnsi="Times New Roman" w:eastAsia="宋体" w:cs="宋体"/>
          <w:color w:val="000000" w:themeColor="text1"/>
          <w:kern w:val="13"/>
          <w:sz w:val="24"/>
          <w:szCs w:val="24"/>
          <w:lang w:eastAsia="zh-CN"/>
          <w14:textFill>
            <w14:solidFill>
              <w14:schemeClr w14:val="tx1"/>
            </w14:solidFill>
          </w14:textFill>
        </w:rPr>
        <w:t>法规和</w:t>
      </w:r>
      <w:r>
        <w:rPr>
          <w:rFonts w:hint="eastAsia" w:ascii="Times New Roman" w:hAnsi="Times New Roman" w:eastAsia="宋体" w:cs="宋体"/>
          <w:color w:val="000000" w:themeColor="text1"/>
          <w:kern w:val="13"/>
          <w:sz w:val="24"/>
          <w:szCs w:val="24"/>
          <w:lang w:val="en-US" w:eastAsia="zh-CN"/>
          <w14:textFill>
            <w14:solidFill>
              <w14:schemeClr w14:val="tx1"/>
            </w14:solidFill>
          </w14:textFill>
        </w:rPr>
        <w:t>中国证监会</w:t>
      </w:r>
      <w:r>
        <w:rPr>
          <w:rFonts w:ascii="Times New Roman" w:hAnsi="Times New Roman" w:eastAsia="宋体" w:cs="宋体"/>
          <w:color w:val="000000" w:themeColor="text1"/>
          <w:kern w:val="13"/>
          <w:sz w:val="24"/>
          <w:szCs w:val="24"/>
          <w:lang w:eastAsia="zh-CN"/>
          <w14:textFill>
            <w14:solidFill>
              <w14:schemeClr w14:val="tx1"/>
            </w14:solidFill>
          </w14:textFill>
        </w:rPr>
        <w:t>有关规定的要求，按照律师行业公认的业务标准、道德规范和勤勉尽责精神，现出具法律意见如下：</w:t>
      </w:r>
    </w:p>
    <w:p>
      <w:pPr>
        <w:widowControl w:val="0"/>
        <w:numPr>
          <w:ilvl w:val="0"/>
          <w:numId w:val="2"/>
        </w:numPr>
        <w:spacing w:before="156" w:beforeLines="50" w:after="156" w:afterLines="50" w:line="360" w:lineRule="auto"/>
        <w:ind w:firstLine="482" w:firstLineChars="200"/>
        <w:jc w:val="both"/>
        <w:rPr>
          <w:rFonts w:ascii="Times New Roman" w:hAnsi="Times New Roman" w:eastAsia="宋体" w:cs="宋体"/>
          <w:b/>
          <w:color w:val="000000" w:themeColor="text1"/>
          <w:kern w:val="13"/>
          <w:sz w:val="24"/>
          <w:szCs w:val="24"/>
          <w:lang w:eastAsia="zh-CN"/>
          <w14:textFill>
            <w14:solidFill>
              <w14:schemeClr w14:val="tx1"/>
            </w14:solidFill>
          </w14:textFill>
        </w:rPr>
      </w:pPr>
      <w:r>
        <w:rPr>
          <w:rFonts w:ascii="Times New Roman" w:hAnsi="Times New Roman" w:eastAsia="宋体" w:cs="宋体"/>
          <w:b/>
          <w:color w:val="000000" w:themeColor="text1"/>
          <w:kern w:val="13"/>
          <w:sz w:val="24"/>
          <w:szCs w:val="24"/>
          <w:lang w:eastAsia="zh-CN"/>
          <w14:textFill>
            <w14:solidFill>
              <w14:schemeClr w14:val="tx1"/>
            </w14:solidFill>
          </w14:textFill>
        </w:rPr>
        <w:t>本次</w:t>
      </w:r>
      <w:r>
        <w:rPr>
          <w:rFonts w:hint="eastAsia" w:ascii="Times New Roman" w:hAnsi="Times New Roman" w:eastAsia="宋体" w:cs="宋体"/>
          <w:b/>
          <w:color w:val="000000" w:themeColor="text1"/>
          <w:kern w:val="13"/>
          <w:sz w:val="24"/>
          <w:szCs w:val="24"/>
          <w:lang w:eastAsia="zh-CN"/>
          <w14:textFill>
            <w14:solidFill>
              <w14:schemeClr w14:val="tx1"/>
            </w14:solidFill>
          </w14:textFill>
        </w:rPr>
        <w:t>授予的批准与授权</w:t>
      </w:r>
    </w:p>
    <w:p>
      <w:pPr>
        <w:widowControl w:val="0"/>
        <w:numPr>
          <w:ilvl w:val="255"/>
          <w:numId w:val="0"/>
        </w:numPr>
        <w:spacing w:before="156" w:beforeLines="50" w:after="156" w:afterLines="50" w:line="360" w:lineRule="auto"/>
        <w:ind w:firstLine="480" w:firstLineChars="200"/>
        <w:jc w:val="both"/>
        <w:rPr>
          <w:rFonts w:ascii="Times New Roman" w:hAnsi="Times New Roman" w:eastAsia="宋体" w:cs="宋体"/>
          <w:color w:val="000000" w:themeColor="text1"/>
          <w:kern w:val="13"/>
          <w:sz w:val="24"/>
          <w:szCs w:val="24"/>
          <w:lang w:eastAsia="zh-CN"/>
          <w14:textFill>
            <w14:solidFill>
              <w14:schemeClr w14:val="tx1"/>
            </w14:solidFill>
          </w14:textFill>
        </w:rPr>
      </w:pPr>
      <w:r>
        <w:rPr>
          <w:rFonts w:ascii="Times New Roman" w:hAnsi="Times New Roman" w:eastAsia="宋体" w:cs="宋体"/>
          <w:color w:val="000000" w:themeColor="text1"/>
          <w:kern w:val="13"/>
          <w:sz w:val="24"/>
          <w:szCs w:val="24"/>
          <w:lang w:eastAsia="zh-CN"/>
          <w14:textFill>
            <w14:solidFill>
              <w14:schemeClr w14:val="tx1"/>
            </w14:solidFill>
          </w14:textFill>
        </w:rPr>
        <w:t>经本所律师核查，截至本法律意见出具日，为实施本次授予，公司已履行了下列法定程序：</w:t>
      </w:r>
    </w:p>
    <w:p>
      <w:pPr>
        <w:widowControl w:val="0"/>
        <w:numPr>
          <w:ilvl w:val="0"/>
          <w:numId w:val="3"/>
        </w:numPr>
        <w:spacing w:before="156" w:beforeLines="50" w:after="156" w:afterLines="50" w:line="360" w:lineRule="auto"/>
        <w:jc w:val="both"/>
        <w:rPr>
          <w:rFonts w:ascii="Times New Roman" w:hAnsi="Times New Roman" w:eastAsia="宋体" w:cs="宋体"/>
          <w:b/>
          <w:color w:val="000000" w:themeColor="text1"/>
          <w:kern w:val="13"/>
          <w:sz w:val="24"/>
          <w:szCs w:val="24"/>
          <w:lang w:eastAsia="zh-CN"/>
          <w14:textFill>
            <w14:solidFill>
              <w14:schemeClr w14:val="tx1"/>
            </w14:solidFill>
          </w14:textFill>
        </w:rPr>
      </w:pPr>
      <w:r>
        <w:rPr>
          <w:rFonts w:hint="eastAsia" w:ascii="Times New Roman" w:hAnsi="Times New Roman" w:eastAsia="宋体" w:cs="宋体"/>
          <w:b/>
          <w:color w:val="000000" w:themeColor="text1"/>
          <w:kern w:val="13"/>
          <w:sz w:val="24"/>
          <w:szCs w:val="24"/>
          <w:lang w:eastAsia="zh-CN"/>
          <w14:textFill>
            <w14:solidFill>
              <w14:schemeClr w14:val="tx1"/>
            </w14:solidFill>
          </w14:textFill>
        </w:rPr>
        <w:t>《激励计划》的批准与授权</w:t>
      </w:r>
    </w:p>
    <w:p>
      <w:pPr>
        <w:widowControl w:val="0"/>
        <w:numPr>
          <w:ilvl w:val="0"/>
          <w:numId w:val="4"/>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3月31日，公司董事会召开第四届董事会第二十七次会议，审议通过了《关于&lt;公司2022年股票期权与限制性股票激励计划（草案）&gt;及其摘要的议案》《关于&lt;公司2022年股票期权与限制性股票激励计划实施考核管理办法&gt;的议案》《关于提请股东大会授权董事会办理股权激励相关事宜的议案》；董事朱著香女士拟成为本次激励计划的激励对象，作为关联董事已回避表决。同日，公司独立董事就本次激励计划发表了独立意见，同意公司实施本次股权激励事项，并同意提交公司股东大会审议。</w:t>
      </w:r>
    </w:p>
    <w:p>
      <w:pPr>
        <w:widowControl w:val="0"/>
        <w:numPr>
          <w:ilvl w:val="0"/>
          <w:numId w:val="4"/>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3月31日，公司监事会召开第四届监事会第二十二次会议，审议通过了《关于&lt;公司2022年股票期权与限制性股票激励计划（草案）&gt;及其摘要的议案》《关于公司&lt;2022年股票期权与限制性股票激励计划实施考核管理办法&gt;的议案》《关于核实&lt;公司2022年股票期权与限制性股票激励计划首次授予部分激励对象名单&gt;的议案》。</w:t>
      </w:r>
    </w:p>
    <w:p>
      <w:pPr>
        <w:widowControl w:val="0"/>
        <w:numPr>
          <w:ilvl w:val="0"/>
          <w:numId w:val="4"/>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5月11日，公司召开2021年年度股东大会，会议审议通过了《关于&lt;公司2022年股票期权与限制性股票激励计划（草案）&gt;及其摘要的议案》《关于&lt;公司2022年股票期权与限制性股票激励计划实施考核管理办法&gt;的议案》《关于提请股东大会授权董事会办理股权激励相关事宜的议案》等议案。公司召开2021年年度股东大会时，</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公司</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独立董事依法向全体股东公开征集了委托投票权。</w:t>
      </w:r>
    </w:p>
    <w:p>
      <w:pPr>
        <w:widowControl w:val="0"/>
        <w:numPr>
          <w:ilvl w:val="0"/>
          <w:numId w:val="4"/>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2022年5月12日，公司在深圳证券交易所网站（http://www.szse.cn/）发布了《激励计划》的公告。</w:t>
      </w:r>
    </w:p>
    <w:p>
      <w:pPr>
        <w:widowControl w:val="0"/>
        <w:numPr>
          <w:ilvl w:val="0"/>
          <w:numId w:val="3"/>
        </w:numPr>
        <w:spacing w:before="156" w:beforeLines="50" w:after="156" w:afterLines="50" w:line="360" w:lineRule="auto"/>
        <w:jc w:val="both"/>
        <w:rPr>
          <w:rFonts w:ascii="Times New Roman" w:hAnsi="Times New Roman" w:eastAsia="宋体" w:cs="宋体"/>
          <w:b/>
          <w:color w:val="000000" w:themeColor="text1"/>
          <w:kern w:val="13"/>
          <w:sz w:val="24"/>
          <w:szCs w:val="24"/>
          <w:lang w:eastAsia="zh-CN"/>
          <w14:textFill>
            <w14:solidFill>
              <w14:schemeClr w14:val="tx1"/>
            </w14:solidFill>
          </w14:textFill>
        </w:rPr>
      </w:pPr>
      <w:r>
        <w:rPr>
          <w:rFonts w:hint="eastAsia" w:ascii="Times New Roman" w:hAnsi="Times New Roman" w:eastAsia="宋体" w:cs="宋体"/>
          <w:b/>
          <w:color w:val="000000" w:themeColor="text1"/>
          <w:kern w:val="13"/>
          <w:sz w:val="24"/>
          <w:szCs w:val="24"/>
          <w:lang w:eastAsia="zh-CN"/>
          <w14:textFill>
            <w14:solidFill>
              <w14:schemeClr w14:val="tx1"/>
            </w14:solidFill>
          </w14:textFill>
        </w:rPr>
        <w:t>本次激励计划的首次授予的批准与授权</w:t>
      </w:r>
    </w:p>
    <w:p>
      <w:pPr>
        <w:widowControl w:val="0"/>
        <w:numPr>
          <w:ilvl w:val="0"/>
          <w:numId w:val="5"/>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5月11日，公司董事会召开第四届董事会第三十次会议，审议通过了《关于向激励对象首次授予股票期权与限制性股票的议案》，同意确定以2022年5月11日为首次授予日，向符合条件的90名激励对象首次授予合计537.50万份权益，其中，向85名激励对象首次授予422.50万份股票期权，向8名激励对象授予115.00万股限制性股票。首次授予股票期权的行权价格为14.74元/股，授予限制性股票的授予价格为10.53元/股。关联董事朱著香女士已回避表决。同日，</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公司</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独立董事发表了独立意见，认为首次授予符合《股权激励管理办法》等法律法规及《激励计划》的规定，同意公司本次激励计划的首次授予。</w:t>
      </w:r>
    </w:p>
    <w:p>
      <w:pPr>
        <w:widowControl w:val="0"/>
        <w:numPr>
          <w:ilvl w:val="0"/>
          <w:numId w:val="5"/>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5月11日，公司监事会召开第四届监事会第二十五次会议，审议通过了《关于向激励对象首次授予股票期权与限制性股票的议案》，监事会认为列入公司本次激励计划首次授予的激励对象均符合相关法律、法规及规范性文件所规定的条件，其作为本次激励计划首次授予的激励对象合法、有效，本次激励计划的首次授予条件已经成就，同意以2022年5月11日为首次授予日，按照公司拟定的方案向85名激励对象首次授予422.50万份股票期权，向8名激励对象授予115.00万股限制性股票。</w:t>
      </w:r>
    </w:p>
    <w:p>
      <w:pPr>
        <w:widowControl w:val="0"/>
        <w:numPr>
          <w:ilvl w:val="0"/>
          <w:numId w:val="3"/>
        </w:numPr>
        <w:spacing w:before="156" w:beforeLines="50" w:after="156" w:afterLines="50" w:line="360" w:lineRule="auto"/>
        <w:jc w:val="both"/>
        <w:rPr>
          <w:rFonts w:ascii="Times New Roman" w:hAnsi="Times New Roman" w:eastAsia="宋体" w:cs="宋体"/>
          <w:b/>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
          <w:bCs/>
          <w:color w:val="000000" w:themeColor="text1"/>
          <w:kern w:val="13"/>
          <w:sz w:val="24"/>
          <w:szCs w:val="24"/>
          <w:lang w:eastAsia="zh-CN"/>
          <w14:textFill>
            <w14:solidFill>
              <w14:schemeClr w14:val="tx1"/>
            </w14:solidFill>
          </w14:textFill>
        </w:rPr>
        <w:t>本次授予的批准与授权</w:t>
      </w:r>
    </w:p>
    <w:p>
      <w:pPr>
        <w:widowControl w:val="0"/>
        <w:numPr>
          <w:ilvl w:val="0"/>
          <w:numId w:val="6"/>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2022年10月28日，公司董事会召开第四届董事会第三十六次会议，审议通过了《关于向激励对象授予预留股票期权的议案》，</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董事会认为本次激励计划的预留授予激励对象均不存在不能授予或者不得成为激励对象的情形，公司本次激励计划规定的预留股票期权授予条件已经成就，</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同意以2022年10月28日为预留授权日，按14.74元/股的行权价格向符合条件的</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20</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名激励对象共计授予60.50万份股票期权</w:t>
      </w:r>
      <w:r>
        <w:rPr>
          <w:rFonts w:hint="eastAsia" w:ascii="Times New Roman" w:hAnsi="Times New Roman" w:eastAsia="宋体" w:cs="宋体"/>
          <w:bCs/>
          <w:color w:val="000000" w:themeColor="text1"/>
          <w:kern w:val="13"/>
          <w:sz w:val="24"/>
          <w:szCs w:val="24"/>
          <w:highlight w:val="none"/>
          <w:lang w:eastAsia="zh-CN"/>
          <w14:textFill>
            <w14:solidFill>
              <w14:schemeClr w14:val="tx1"/>
            </w14:solidFill>
          </w14:textFill>
        </w:rPr>
        <w:t>。</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同日，</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公司</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独立董事发表了独立意见，同意公司本次激励计划的预留股票期权的授权日为2022年10月28日，并同意以14.74元/股的行权价格向20名激励对象授予60.50万份预留股票期权。</w:t>
      </w:r>
    </w:p>
    <w:p>
      <w:pPr>
        <w:widowControl w:val="0"/>
        <w:numPr>
          <w:ilvl w:val="0"/>
          <w:numId w:val="6"/>
        </w:numPr>
        <w:spacing w:before="156" w:beforeLines="50" w:after="156" w:afterLines="50" w:line="360" w:lineRule="auto"/>
        <w:ind w:left="0" w:firstLine="42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10月28日，公司监事会召开第四届监事会第二十九次会议，审议通过了《关于向激励对象授予预留股票期权的议案》，监事会认为列入公司本次激励计划的预留授予激励对象均符合相关法律、法规及规范性文件所规定的条件，其作为本次激励计划的预留授予激励对象</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的主体资格</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合法、有效，本次激励计划的预留授予</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的</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条件已经成就，同意以2022年10月28日为预留股票期权授权日，向</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符合条件的</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20名激励对象授予60.50万份</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预留</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股票期权，行权价格为14.74元/股。</w:t>
      </w:r>
    </w:p>
    <w:p>
      <w:pPr>
        <w:widowControl w:val="0"/>
        <w:spacing w:before="156" w:beforeLines="50" w:after="156" w:afterLines="50" w:line="360" w:lineRule="auto"/>
        <w:ind w:firstLine="480" w:firstLineChars="200"/>
        <w:jc w:val="both"/>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本所律师认为，截至本法律意见出具日，公司就本次授予事项已取得现阶段必要的批准与授权，符合《股权激励管理办法》</w:t>
      </w:r>
      <w:r>
        <w:rPr>
          <w:rFonts w:hint="eastAsia" w:ascii="Times New Roman" w:hAnsi="Times New Roman" w:eastAsia="宋体" w:cs="宋体"/>
          <w:color w:val="auto"/>
          <w:kern w:val="13"/>
          <w:sz w:val="24"/>
          <w:szCs w:val="24"/>
          <w:lang w:eastAsia="zh-CN"/>
        </w:rPr>
        <w:t>《上市规则》等法律、法规和规范性文件以及</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《激励计划》的有关规定。</w:t>
      </w:r>
    </w:p>
    <w:p>
      <w:pPr>
        <w:widowControl w:val="0"/>
        <w:numPr>
          <w:ilvl w:val="0"/>
          <w:numId w:val="2"/>
        </w:numPr>
        <w:spacing w:before="156" w:beforeLines="50" w:after="156" w:afterLines="50" w:line="360" w:lineRule="auto"/>
        <w:ind w:firstLine="482" w:firstLineChars="200"/>
        <w:jc w:val="both"/>
        <w:rPr>
          <w:rFonts w:ascii="Times New Roman" w:hAnsi="Times New Roman" w:eastAsia="宋体" w:cs="宋体"/>
          <w:b/>
          <w:color w:val="000000" w:themeColor="text1"/>
          <w:kern w:val="13"/>
          <w:sz w:val="24"/>
          <w:szCs w:val="24"/>
          <w:lang w:eastAsia="zh-CN"/>
          <w14:textFill>
            <w14:solidFill>
              <w14:schemeClr w14:val="tx1"/>
            </w14:solidFill>
          </w14:textFill>
        </w:rPr>
      </w:pPr>
      <w:r>
        <w:rPr>
          <w:rFonts w:hint="eastAsia" w:ascii="Times New Roman" w:hAnsi="Times New Roman" w:eastAsia="宋体" w:cs="宋体"/>
          <w:b/>
          <w:color w:val="000000" w:themeColor="text1"/>
          <w:kern w:val="13"/>
          <w:sz w:val="24"/>
          <w:szCs w:val="24"/>
          <w:lang w:eastAsia="zh-CN"/>
          <w14:textFill>
            <w14:solidFill>
              <w14:schemeClr w14:val="tx1"/>
            </w14:solidFill>
          </w14:textFill>
        </w:rPr>
        <w:t>本次授予的基本情况</w:t>
      </w:r>
    </w:p>
    <w:p>
      <w:pPr>
        <w:widowControl w:val="0"/>
        <w:numPr>
          <w:ilvl w:val="0"/>
          <w:numId w:val="7"/>
        </w:numPr>
        <w:spacing w:before="156" w:beforeLines="50" w:after="156" w:afterLines="50" w:line="360" w:lineRule="auto"/>
        <w:jc w:val="both"/>
        <w:outlineLvl w:val="0"/>
        <w:rPr>
          <w:rFonts w:ascii="Times New Roman" w:hAnsi="Times New Roman" w:eastAsia="宋体" w:cs="宋体"/>
          <w:b/>
          <w:color w:val="000000" w:themeColor="text1"/>
          <w:kern w:val="13"/>
          <w:sz w:val="24"/>
          <w:szCs w:val="24"/>
          <w:lang w:eastAsia="zh-CN"/>
          <w14:textFill>
            <w14:solidFill>
              <w14:schemeClr w14:val="tx1"/>
            </w14:solidFill>
          </w14:textFill>
        </w:rPr>
      </w:pPr>
      <w:r>
        <w:rPr>
          <w:rFonts w:hint="eastAsia" w:ascii="Times New Roman" w:hAnsi="Times New Roman" w:eastAsia="宋体" w:cs="宋体"/>
          <w:b/>
          <w:color w:val="000000" w:themeColor="text1"/>
          <w:kern w:val="13"/>
          <w:sz w:val="24"/>
          <w:szCs w:val="24"/>
          <w:lang w:eastAsia="zh-CN"/>
          <w14:textFill>
            <w14:solidFill>
              <w14:schemeClr w14:val="tx1"/>
            </w14:solidFill>
          </w14:textFill>
        </w:rPr>
        <w:t>本次授予的预留授权日</w:t>
      </w:r>
    </w:p>
    <w:p>
      <w:pPr>
        <w:widowControl w:val="0"/>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10月28日，公司第四届董事会第三十六次会议审议通过了《关于向激励对象授予预留股票期权的议案》，同意确定2022年10月28日为本次授予的预留授权日。同日，公司独立董事对前述事宜发表了同意的独立意见。</w:t>
      </w:r>
    </w:p>
    <w:p>
      <w:pPr>
        <w:widowControl w:val="0"/>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2022年10月28日，公司第四届监事会第二十九次会议决议，同意本次授予的预留授权日确定为2022年10月28日。</w:t>
      </w:r>
    </w:p>
    <w:p>
      <w:pPr>
        <w:widowControl w:val="0"/>
        <w:numPr>
          <w:ilvl w:val="0"/>
          <w:numId w:val="0"/>
        </w:numPr>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经本所律师核查，本次授予的预留授权日为交易日，在2021年年度股东大会审议通过本次激励计划后12个月内。</w:t>
      </w:r>
    </w:p>
    <w:p>
      <w:pPr>
        <w:widowControl w:val="0"/>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本所律师认为，本次授予的预留授权日符合《股权激励管理办法》《上市规则》等法律、法规和规范性文件以及《激励计划》的有关规定。</w:t>
      </w:r>
    </w:p>
    <w:p>
      <w:pPr>
        <w:widowControl w:val="0"/>
        <w:numPr>
          <w:ilvl w:val="0"/>
          <w:numId w:val="7"/>
        </w:numPr>
        <w:spacing w:before="156" w:beforeLines="50" w:after="156" w:afterLines="50" w:line="360" w:lineRule="auto"/>
        <w:jc w:val="both"/>
        <w:outlineLvl w:val="0"/>
        <w:rPr>
          <w:rFonts w:ascii="Times New Roman" w:hAnsi="Times New Roman" w:eastAsia="宋体" w:cs="宋体"/>
          <w:b/>
          <w:color w:val="000000" w:themeColor="text1"/>
          <w:kern w:val="13"/>
          <w:sz w:val="24"/>
          <w:szCs w:val="24"/>
          <w:lang w:eastAsia="zh-CN"/>
          <w14:textFill>
            <w14:solidFill>
              <w14:schemeClr w14:val="tx1"/>
            </w14:solidFill>
          </w14:textFill>
        </w:rPr>
      </w:pPr>
      <w:r>
        <w:rPr>
          <w:rFonts w:hint="eastAsia" w:ascii="Times New Roman" w:hAnsi="Times New Roman" w:eastAsia="宋体" w:cs="宋体"/>
          <w:b/>
          <w:color w:val="000000" w:themeColor="text1"/>
          <w:kern w:val="13"/>
          <w:sz w:val="24"/>
          <w:szCs w:val="24"/>
          <w:lang w:eastAsia="zh-CN"/>
          <w14:textFill>
            <w14:solidFill>
              <w14:schemeClr w14:val="tx1"/>
            </w14:solidFill>
          </w14:textFill>
        </w:rPr>
        <w:t>本次授予的激励对象、授予数量及</w:t>
      </w:r>
      <w:r>
        <w:rPr>
          <w:rFonts w:hint="eastAsia" w:ascii="Times New Roman" w:hAnsi="Times New Roman" w:eastAsia="宋体" w:cs="宋体"/>
          <w:b/>
          <w:color w:val="000000" w:themeColor="text1"/>
          <w:kern w:val="13"/>
          <w:sz w:val="24"/>
          <w:szCs w:val="24"/>
          <w:lang w:val="en-US" w:eastAsia="zh-CN"/>
          <w14:textFill>
            <w14:solidFill>
              <w14:schemeClr w14:val="tx1"/>
            </w14:solidFill>
          </w14:textFill>
        </w:rPr>
        <w:t>行权</w:t>
      </w:r>
      <w:r>
        <w:rPr>
          <w:rFonts w:hint="eastAsia" w:ascii="Times New Roman" w:hAnsi="Times New Roman" w:eastAsia="宋体" w:cs="宋体"/>
          <w:b/>
          <w:color w:val="000000" w:themeColor="text1"/>
          <w:kern w:val="13"/>
          <w:sz w:val="24"/>
          <w:szCs w:val="24"/>
          <w:lang w:eastAsia="zh-CN"/>
          <w14:textFill>
            <w14:solidFill>
              <w14:schemeClr w14:val="tx1"/>
            </w14:solidFill>
          </w14:textFill>
        </w:rPr>
        <w:t>价格</w:t>
      </w:r>
    </w:p>
    <w:p>
      <w:pPr>
        <w:widowControl w:val="0"/>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根据公司第四届董事会第三十六次会议通过的《关于向激励对象授予预留股票期权的议案》，本次授予的激励对象总人数为20人，授予的股票期权数量为60</w:t>
      </w:r>
      <w:r>
        <w:rPr>
          <w:rFonts w:ascii="Times New Roman" w:hAnsi="Times New Roman" w:eastAsia="宋体" w:cs="宋体"/>
          <w:bCs/>
          <w:color w:val="000000" w:themeColor="text1"/>
          <w:kern w:val="13"/>
          <w:sz w:val="24"/>
          <w:szCs w:val="24"/>
          <w:lang w:eastAsia="zh-CN"/>
          <w14:textFill>
            <w14:solidFill>
              <w14:schemeClr w14:val="tx1"/>
            </w14:solidFill>
          </w14:textFill>
        </w:rPr>
        <w:t>.50</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万份，行权价格为14.74元/股。同日，公司独立董事对前述相关事宜发表了同意的独立意见。</w:t>
      </w:r>
    </w:p>
    <w:p>
      <w:pPr>
        <w:widowControl w:val="0"/>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根据公司第四届监事会第二十九次会议决议及其核查意见，公司监事会认为本次授予的激励对象均符合相关法律、法规及规范性文件所规定的条件，其作为公司本次授予的激励对象的主体资格合法、有效，</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同意向符合条件的20名激励对象授予60.50万份预留股票期权，行权价格为14.74元/股</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w:t>
      </w:r>
    </w:p>
    <w:p>
      <w:pPr>
        <w:widowControl w:val="0"/>
        <w:numPr>
          <w:ilvl w:val="0"/>
          <w:numId w:val="0"/>
        </w:numPr>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本所律师认为，本次授予的激励对象、授予数量、</w:t>
      </w:r>
      <w:r>
        <w:rPr>
          <w:rFonts w:hint="eastAsia" w:ascii="Times New Roman" w:hAnsi="Times New Roman" w:eastAsia="宋体" w:cs="宋体"/>
          <w:bCs/>
          <w:color w:val="000000" w:themeColor="text1"/>
          <w:kern w:val="13"/>
          <w:sz w:val="24"/>
          <w:szCs w:val="24"/>
          <w:lang w:val="en-US" w:eastAsia="zh-CN"/>
          <w14:textFill>
            <w14:solidFill>
              <w14:schemeClr w14:val="tx1"/>
            </w14:solidFill>
          </w14:textFill>
        </w:rPr>
        <w:t>行权</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价格与《激励计划》内容一致，符合《股权激励管理办法》《上市规则》等法律、法规和规范性文件以及《激励计划》的有关规定。</w:t>
      </w:r>
    </w:p>
    <w:p>
      <w:pPr>
        <w:widowControl w:val="0"/>
        <w:numPr>
          <w:ilvl w:val="0"/>
          <w:numId w:val="7"/>
        </w:numPr>
        <w:spacing w:before="156" w:beforeLines="50" w:after="156" w:afterLines="50" w:line="360" w:lineRule="auto"/>
        <w:jc w:val="both"/>
        <w:outlineLvl w:val="0"/>
        <w:rPr>
          <w:rFonts w:ascii="Times New Roman" w:hAnsi="Times New Roman" w:eastAsia="宋体" w:cs="宋体"/>
          <w:b/>
          <w:color w:val="000000" w:themeColor="text1"/>
          <w:kern w:val="13"/>
          <w:sz w:val="24"/>
          <w:szCs w:val="24"/>
          <w:lang w:eastAsia="zh-CN"/>
          <w14:textFill>
            <w14:solidFill>
              <w14:schemeClr w14:val="tx1"/>
            </w14:solidFill>
          </w14:textFill>
        </w:rPr>
      </w:pPr>
      <w:r>
        <w:rPr>
          <w:rFonts w:hint="eastAsia" w:ascii="Times New Roman" w:hAnsi="Times New Roman" w:eastAsia="宋体" w:cs="宋体"/>
          <w:b/>
          <w:color w:val="000000" w:themeColor="text1"/>
          <w:kern w:val="13"/>
          <w:sz w:val="24"/>
          <w:szCs w:val="24"/>
          <w:lang w:eastAsia="zh-CN"/>
          <w14:textFill>
            <w14:solidFill>
              <w14:schemeClr w14:val="tx1"/>
            </w14:solidFill>
          </w14:textFill>
        </w:rPr>
        <w:t>本次授予的授予条件</w:t>
      </w:r>
    </w:p>
    <w:p>
      <w:pPr>
        <w:widowControl w:val="0"/>
        <w:numPr>
          <w:ilvl w:val="0"/>
          <w:numId w:val="0"/>
        </w:numPr>
        <w:spacing w:before="156" w:beforeLines="50" w:after="156" w:afterLines="50" w:line="360" w:lineRule="auto"/>
        <w:ind w:firstLine="480" w:firstLineChars="200"/>
        <w:jc w:val="both"/>
        <w:outlineLvl w:val="9"/>
        <w:rPr>
          <w:rFonts w:ascii="Times New Roman" w:hAnsi="Times New Roman" w:eastAsia="宋体" w:cs="宋体"/>
          <w:bCs/>
          <w:color w:val="000000" w:themeColor="text1"/>
          <w:kern w:val="13"/>
          <w:sz w:val="24"/>
          <w:szCs w:val="24"/>
          <w:lang w:eastAsia="zh-CN"/>
          <w14:textFill>
            <w14:solidFill>
              <w14:schemeClr w14:val="tx1"/>
            </w14:solidFill>
          </w14:textFill>
        </w:rPr>
      </w:pP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根据《激励计划》，只有在同时满足下列条件时，公司向激励对象授予股票期权；反之，若下列任一授予条件未达成，则不能向激励对象授予股票期权：</w:t>
      </w:r>
    </w:p>
    <w:p>
      <w:pPr>
        <w:widowControl w:val="0"/>
        <w:numPr>
          <w:ilvl w:val="0"/>
          <w:numId w:val="8"/>
        </w:numPr>
        <w:spacing w:before="156" w:beforeLines="50" w:after="156" w:afterLines="50" w:line="360" w:lineRule="auto"/>
        <w:ind w:left="0"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公司未发生如下任一情形：</w:t>
      </w:r>
    </w:p>
    <w:p>
      <w:pPr>
        <w:widowControl w:val="0"/>
        <w:numPr>
          <w:ilvl w:val="0"/>
          <w:numId w:val="9"/>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最近一个会计年度财务会计报告被注册会计师出具否定意见或者无法表示意见的审计报告；</w:t>
      </w:r>
    </w:p>
    <w:p>
      <w:pPr>
        <w:widowControl w:val="0"/>
        <w:numPr>
          <w:ilvl w:val="0"/>
          <w:numId w:val="9"/>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最近一个会计年度财务报告内部控制被注册会计师出具否定意见或无法表示意见的审计报告；</w:t>
      </w:r>
    </w:p>
    <w:p>
      <w:pPr>
        <w:widowControl w:val="0"/>
        <w:numPr>
          <w:ilvl w:val="0"/>
          <w:numId w:val="9"/>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上市后最近36个月内出现过未按法律法规、《公司章程》、公开承诺进行利润分配的情形；</w:t>
      </w:r>
    </w:p>
    <w:p>
      <w:pPr>
        <w:widowControl w:val="0"/>
        <w:numPr>
          <w:ilvl w:val="0"/>
          <w:numId w:val="9"/>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法律法规规定不得实行股权激励的；</w:t>
      </w:r>
    </w:p>
    <w:p>
      <w:pPr>
        <w:widowControl w:val="0"/>
        <w:numPr>
          <w:ilvl w:val="0"/>
          <w:numId w:val="9"/>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中国证监会认定的其他情形。</w:t>
      </w:r>
    </w:p>
    <w:p>
      <w:pPr>
        <w:widowControl w:val="0"/>
        <w:numPr>
          <w:ilvl w:val="0"/>
          <w:numId w:val="8"/>
        </w:numPr>
        <w:spacing w:before="156" w:beforeLines="50" w:after="156" w:afterLines="50" w:line="360" w:lineRule="auto"/>
        <w:ind w:left="0"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激励对象未发生以下任一情形：</w:t>
      </w:r>
    </w:p>
    <w:p>
      <w:pPr>
        <w:widowControl w:val="0"/>
        <w:numPr>
          <w:ilvl w:val="0"/>
          <w:numId w:val="10"/>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最近12个月内被证券交易所认定为不适当人选；</w:t>
      </w:r>
    </w:p>
    <w:p>
      <w:pPr>
        <w:widowControl w:val="0"/>
        <w:numPr>
          <w:ilvl w:val="0"/>
          <w:numId w:val="10"/>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最近12个月内被中国证监会及其派出机构认定为不适当人选；</w:t>
      </w:r>
    </w:p>
    <w:p>
      <w:pPr>
        <w:widowControl w:val="0"/>
        <w:numPr>
          <w:ilvl w:val="0"/>
          <w:numId w:val="10"/>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最近12个月内因重大违法违规行为被中国证监会及其派出机构行政处罚或者采取市场禁入措施；</w:t>
      </w:r>
    </w:p>
    <w:p>
      <w:pPr>
        <w:widowControl w:val="0"/>
        <w:numPr>
          <w:ilvl w:val="0"/>
          <w:numId w:val="10"/>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具有《公司法》规定的不得担任公司董事、高级管理人员的情形；</w:t>
      </w:r>
    </w:p>
    <w:p>
      <w:pPr>
        <w:widowControl w:val="0"/>
        <w:numPr>
          <w:ilvl w:val="0"/>
          <w:numId w:val="10"/>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法律法规规定不得参与上市公司股权激励的；</w:t>
      </w:r>
    </w:p>
    <w:p>
      <w:pPr>
        <w:widowControl w:val="0"/>
        <w:numPr>
          <w:ilvl w:val="0"/>
          <w:numId w:val="10"/>
        </w:numPr>
        <w:spacing w:before="156" w:beforeLines="50" w:after="156" w:afterLines="50" w:line="360" w:lineRule="auto"/>
        <w:ind w:firstLine="42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中国证监会认定的其他情形。</w:t>
      </w:r>
    </w:p>
    <w:p>
      <w:pPr>
        <w:widowControl w:val="0"/>
        <w:wordWrap w:val="0"/>
        <w:spacing w:before="156" w:beforeLines="50" w:after="156" w:afterLines="50" w:line="360" w:lineRule="auto"/>
        <w:ind w:firstLine="480" w:firstLineChars="200"/>
        <w:jc w:val="both"/>
        <w:rPr>
          <w:rFonts w:ascii="Times New Roman" w:hAnsi="Times New Roman" w:eastAsia="宋体" w:cs="宋体"/>
          <w:color w:val="auto"/>
          <w:kern w:val="13"/>
          <w:sz w:val="24"/>
          <w:szCs w:val="24"/>
          <w:lang w:eastAsia="zh-CN"/>
        </w:rPr>
      </w:pPr>
      <w:r>
        <w:rPr>
          <w:rFonts w:ascii="Times New Roman" w:hAnsi="Times New Roman" w:eastAsia="宋体" w:cs="宋体"/>
          <w:color w:val="auto"/>
          <w:kern w:val="13"/>
          <w:sz w:val="24"/>
          <w:szCs w:val="24"/>
          <w:lang w:eastAsia="zh-CN"/>
        </w:rPr>
        <w:t>根据</w:t>
      </w:r>
      <w:r>
        <w:rPr>
          <w:rFonts w:hint="eastAsia" w:ascii="Times New Roman" w:hAnsi="Times New Roman" w:eastAsia="宋体" w:cs="宋体"/>
          <w:color w:val="auto"/>
          <w:kern w:val="13"/>
          <w:sz w:val="24"/>
          <w:szCs w:val="24"/>
          <w:lang w:eastAsia="zh-CN"/>
        </w:rPr>
        <w:t>大华</w:t>
      </w:r>
      <w:r>
        <w:rPr>
          <w:rFonts w:ascii="Times New Roman" w:hAnsi="Times New Roman" w:eastAsia="宋体" w:cs="宋体"/>
          <w:color w:val="auto"/>
          <w:kern w:val="13"/>
          <w:sz w:val="24"/>
          <w:szCs w:val="24"/>
          <w:lang w:eastAsia="zh-CN"/>
        </w:rPr>
        <w:t>会计师事务所（特殊普通合伙）出具的《</w:t>
      </w:r>
      <w:r>
        <w:rPr>
          <w:rFonts w:hint="eastAsia" w:ascii="Times New Roman" w:hAnsi="Times New Roman" w:eastAsia="宋体" w:cs="宋体"/>
          <w:color w:val="auto"/>
          <w:kern w:val="13"/>
          <w:sz w:val="24"/>
          <w:szCs w:val="24"/>
          <w:lang w:eastAsia="zh-CN"/>
        </w:rPr>
        <w:t>厦门万里石股份有限公司审计报告</w:t>
      </w:r>
      <w:r>
        <w:rPr>
          <w:rFonts w:ascii="Times New Roman" w:hAnsi="Times New Roman" w:eastAsia="宋体" w:cs="宋体"/>
          <w:color w:val="auto"/>
          <w:kern w:val="13"/>
          <w:sz w:val="24"/>
          <w:szCs w:val="24"/>
          <w:lang w:eastAsia="zh-CN"/>
        </w:rPr>
        <w:t>》（</w:t>
      </w:r>
      <w:r>
        <w:rPr>
          <w:rFonts w:hint="eastAsia" w:ascii="Times New Roman" w:hAnsi="Times New Roman" w:eastAsia="宋体" w:cs="宋体"/>
          <w:color w:val="auto"/>
          <w:kern w:val="13"/>
          <w:sz w:val="24"/>
          <w:szCs w:val="24"/>
          <w:lang w:eastAsia="zh-CN"/>
        </w:rPr>
        <w:t>大华</w:t>
      </w:r>
      <w:r>
        <w:rPr>
          <w:rFonts w:ascii="Times New Roman" w:hAnsi="Times New Roman" w:eastAsia="宋体" w:cs="宋体"/>
          <w:color w:val="auto"/>
          <w:kern w:val="13"/>
          <w:sz w:val="24"/>
          <w:szCs w:val="24"/>
          <w:lang w:eastAsia="zh-CN"/>
        </w:rPr>
        <w:t>审</w:t>
      </w:r>
      <w:r>
        <w:rPr>
          <w:rFonts w:hint="eastAsia" w:ascii="Times New Roman" w:hAnsi="Times New Roman" w:eastAsia="宋体" w:cs="宋体"/>
          <w:color w:val="auto"/>
          <w:kern w:val="13"/>
          <w:sz w:val="24"/>
          <w:szCs w:val="24"/>
          <w:lang w:eastAsia="zh-CN"/>
        </w:rPr>
        <w:t>字</w:t>
      </w:r>
      <w:r>
        <w:rPr>
          <w:rFonts w:ascii="Times New Roman" w:hAnsi="Times New Roman" w:eastAsia="宋体" w:cs="宋体"/>
          <w:color w:val="auto"/>
          <w:kern w:val="13"/>
          <w:sz w:val="24"/>
          <w:szCs w:val="24"/>
          <w:lang w:eastAsia="zh-CN"/>
        </w:rPr>
        <w:t>[202</w:t>
      </w:r>
      <w:r>
        <w:rPr>
          <w:rFonts w:hint="eastAsia" w:ascii="Times New Roman" w:hAnsi="Times New Roman" w:eastAsia="宋体" w:cs="宋体"/>
          <w:color w:val="auto"/>
          <w:kern w:val="13"/>
          <w:sz w:val="24"/>
          <w:szCs w:val="24"/>
          <w:lang w:eastAsia="zh-CN"/>
        </w:rPr>
        <w:t>2</w:t>
      </w:r>
      <w:r>
        <w:rPr>
          <w:rFonts w:ascii="Times New Roman" w:hAnsi="Times New Roman" w:eastAsia="宋体" w:cs="宋体"/>
          <w:color w:val="auto"/>
          <w:kern w:val="13"/>
          <w:sz w:val="24"/>
          <w:szCs w:val="24"/>
          <w:lang w:eastAsia="zh-CN"/>
        </w:rPr>
        <w:t>]</w:t>
      </w:r>
      <w:r>
        <w:rPr>
          <w:rFonts w:hint="eastAsia" w:ascii="Times New Roman" w:hAnsi="Times New Roman" w:eastAsia="宋体" w:cs="宋体"/>
          <w:color w:val="auto"/>
          <w:kern w:val="13"/>
          <w:sz w:val="24"/>
          <w:szCs w:val="24"/>
          <w:lang w:eastAsia="zh-CN"/>
        </w:rPr>
        <w:t>0010968</w:t>
      </w:r>
      <w:r>
        <w:rPr>
          <w:rFonts w:ascii="Times New Roman" w:hAnsi="Times New Roman" w:eastAsia="宋体" w:cs="宋体"/>
          <w:color w:val="auto"/>
          <w:kern w:val="13"/>
          <w:sz w:val="24"/>
          <w:szCs w:val="24"/>
          <w:lang w:eastAsia="zh-CN"/>
        </w:rPr>
        <w:t>号）</w:t>
      </w:r>
      <w:r>
        <w:rPr>
          <w:rFonts w:hint="eastAsia" w:ascii="Times New Roman" w:hAnsi="Times New Roman" w:eastAsia="宋体" w:cs="宋体"/>
          <w:color w:val="auto"/>
          <w:kern w:val="13"/>
          <w:sz w:val="24"/>
          <w:szCs w:val="24"/>
          <w:lang w:eastAsia="zh-CN"/>
        </w:rPr>
        <w:t>、</w:t>
      </w:r>
      <w:r>
        <w:rPr>
          <w:rFonts w:ascii="Times New Roman" w:hAnsi="Times New Roman" w:eastAsia="宋体" w:cs="宋体"/>
          <w:color w:val="auto"/>
          <w:kern w:val="13"/>
          <w:sz w:val="24"/>
          <w:szCs w:val="24"/>
          <w:lang w:eastAsia="zh-CN"/>
        </w:rPr>
        <w:t>《</w:t>
      </w:r>
      <w:r>
        <w:rPr>
          <w:rFonts w:hint="eastAsia" w:ascii="Times New Roman" w:hAnsi="Times New Roman" w:eastAsia="宋体" w:cs="宋体"/>
          <w:color w:val="auto"/>
          <w:kern w:val="13"/>
          <w:sz w:val="24"/>
          <w:szCs w:val="24"/>
          <w:lang w:eastAsia="zh-CN"/>
        </w:rPr>
        <w:t>厦门万里石股份有限公司内部控制鉴证报告</w:t>
      </w:r>
      <w:r>
        <w:rPr>
          <w:rFonts w:ascii="Times New Roman" w:hAnsi="Times New Roman" w:eastAsia="宋体" w:cs="宋体"/>
          <w:color w:val="auto"/>
          <w:kern w:val="13"/>
          <w:sz w:val="24"/>
          <w:szCs w:val="24"/>
          <w:lang w:eastAsia="zh-CN"/>
        </w:rPr>
        <w:t>》</w:t>
      </w:r>
      <w:r>
        <w:rPr>
          <w:rFonts w:hint="eastAsia" w:ascii="Times New Roman" w:hAnsi="Times New Roman" w:eastAsia="宋体" w:cs="宋体"/>
          <w:color w:val="auto"/>
          <w:kern w:val="13"/>
          <w:sz w:val="24"/>
          <w:szCs w:val="24"/>
          <w:lang w:eastAsia="zh-CN"/>
        </w:rPr>
        <w:t>（大华核字[2022]007965号）、</w:t>
      </w:r>
      <w:r>
        <w:rPr>
          <w:rFonts w:ascii="Times New Roman" w:hAnsi="Times New Roman" w:eastAsia="宋体" w:cs="宋体"/>
          <w:color w:val="auto"/>
          <w:kern w:val="13"/>
          <w:sz w:val="24"/>
          <w:szCs w:val="24"/>
          <w:lang w:eastAsia="zh-CN"/>
        </w:rPr>
        <w:t>公司关于本次激励计划、本次授予的相关股东大会、董事会、监事会会议文件、公司独立董事就本次授予所发表的独立意见及公司其他公开信息披露文件，以及公司、激励对象出具的声明与承诺，并经本所律师登陆中国</w:t>
      </w:r>
      <w:r>
        <w:rPr>
          <w:rFonts w:hint="eastAsia" w:ascii="Times New Roman" w:hAnsi="Times New Roman" w:eastAsia="宋体" w:cs="宋体"/>
          <w:color w:val="auto"/>
          <w:kern w:val="13"/>
          <w:sz w:val="24"/>
          <w:szCs w:val="24"/>
          <w:lang w:eastAsia="zh-CN"/>
        </w:rPr>
        <w:t>证监会网站“政府信息公开”</w:t>
      </w:r>
      <w:r>
        <w:rPr>
          <w:rFonts w:ascii="Times New Roman" w:hAnsi="Times New Roman" w:eastAsia="宋体" w:cs="宋体"/>
          <w:color w:val="auto"/>
          <w:kern w:val="13"/>
          <w:sz w:val="24"/>
          <w:szCs w:val="24"/>
          <w:lang w:eastAsia="zh-CN"/>
        </w:rPr>
        <w:t>（</w:t>
      </w:r>
      <w:r>
        <w:rPr>
          <w:rFonts w:hint="eastAsia" w:ascii="Times New Roman" w:hAnsi="Times New Roman" w:eastAsia="宋体" w:cs="宋体"/>
          <w:color w:val="auto"/>
          <w:kern w:val="13"/>
          <w:sz w:val="24"/>
          <w:szCs w:val="24"/>
          <w:lang w:eastAsia="zh-CN"/>
        </w:rPr>
        <w:t>http://www.csrc.gov.cn/</w:t>
      </w:r>
      <w:r>
        <w:rPr>
          <w:rFonts w:ascii="Times New Roman" w:hAnsi="Times New Roman" w:eastAsia="宋体" w:cs="宋体"/>
          <w:color w:val="auto"/>
          <w:kern w:val="13"/>
          <w:sz w:val="24"/>
          <w:szCs w:val="24"/>
          <w:lang w:eastAsia="zh-CN"/>
        </w:rPr>
        <w:t>）、中国证监会证券期货市场失信记录查询平台（http://neris.csrc.gov.cn/shixinchaxun/）、</w:t>
      </w:r>
      <w:r>
        <w:rPr>
          <w:rFonts w:hint="eastAsia" w:ascii="Times New Roman" w:hAnsi="Times New Roman" w:eastAsia="宋体" w:cs="宋体"/>
          <w:color w:val="auto"/>
          <w:kern w:val="13"/>
          <w:sz w:val="24"/>
          <w:szCs w:val="24"/>
          <w:lang w:eastAsia="zh-CN"/>
        </w:rPr>
        <w:t>深圳</w:t>
      </w:r>
      <w:r>
        <w:rPr>
          <w:rFonts w:ascii="Times New Roman" w:hAnsi="Times New Roman" w:eastAsia="宋体" w:cs="宋体"/>
          <w:color w:val="auto"/>
          <w:kern w:val="13"/>
          <w:sz w:val="24"/>
          <w:szCs w:val="24"/>
          <w:lang w:eastAsia="zh-CN"/>
        </w:rPr>
        <w:t>证券交易所网站</w:t>
      </w:r>
      <w:r>
        <w:rPr>
          <w:rFonts w:hint="eastAsia" w:ascii="Times New Roman" w:hAnsi="Times New Roman" w:eastAsia="宋体" w:cs="宋体"/>
          <w:color w:val="auto"/>
          <w:kern w:val="13"/>
          <w:sz w:val="24"/>
          <w:szCs w:val="24"/>
          <w:lang w:eastAsia="zh-CN"/>
        </w:rPr>
        <w:t>“</w:t>
      </w:r>
      <w:r>
        <w:rPr>
          <w:rFonts w:ascii="Times New Roman" w:hAnsi="Times New Roman" w:eastAsia="宋体" w:cs="宋体"/>
          <w:color w:val="auto"/>
          <w:kern w:val="13"/>
          <w:sz w:val="24"/>
          <w:szCs w:val="24"/>
          <w:lang w:eastAsia="zh-CN"/>
        </w:rPr>
        <w:t>监管信息公开-监管措施与纪律处分</w:t>
      </w:r>
      <w:r>
        <w:rPr>
          <w:rFonts w:hint="eastAsia" w:ascii="Times New Roman" w:hAnsi="Times New Roman" w:eastAsia="宋体" w:cs="宋体"/>
          <w:color w:val="auto"/>
          <w:kern w:val="13"/>
          <w:sz w:val="24"/>
          <w:szCs w:val="24"/>
          <w:lang w:eastAsia="zh-CN"/>
        </w:rPr>
        <w:t>”</w:t>
      </w:r>
      <w:r>
        <w:rPr>
          <w:rFonts w:ascii="Times New Roman" w:hAnsi="Times New Roman" w:eastAsia="宋体" w:cs="宋体"/>
          <w:color w:val="auto"/>
          <w:kern w:val="13"/>
          <w:sz w:val="24"/>
          <w:szCs w:val="24"/>
          <w:lang w:eastAsia="zh-CN"/>
        </w:rPr>
        <w:t>（</w:t>
      </w:r>
      <w:r>
        <w:rPr>
          <w:rFonts w:hint="eastAsia" w:ascii="Times New Roman" w:hAnsi="Times New Roman" w:eastAsia="宋体" w:cs="宋体"/>
          <w:color w:val="auto"/>
          <w:kern w:val="13"/>
          <w:sz w:val="24"/>
          <w:szCs w:val="24"/>
          <w:lang w:eastAsia="zh-CN"/>
        </w:rPr>
        <w:t>http://www.szse.cn/disclosure/supervision/measure/measure/index.html</w:t>
      </w:r>
      <w:r>
        <w:rPr>
          <w:rFonts w:ascii="Times New Roman" w:hAnsi="Times New Roman" w:eastAsia="宋体" w:cs="宋体"/>
          <w:color w:val="auto"/>
          <w:kern w:val="13"/>
          <w:sz w:val="24"/>
          <w:szCs w:val="24"/>
          <w:lang w:eastAsia="zh-CN"/>
        </w:rPr>
        <w:t>）、中国裁判文书网（http://wenshu.court.gov.cn/）、中国执行信息公开网（http://zxgk.court.gov.cn/）、信用中国网站（https://www.creditchina.gov.cn/）进行查询和检索，公司和激励对象不存在上述不能授予</w:t>
      </w:r>
      <w:r>
        <w:rPr>
          <w:rFonts w:hint="eastAsia" w:ascii="Times New Roman" w:hAnsi="Times New Roman" w:eastAsia="宋体" w:cs="宋体"/>
          <w:color w:val="auto"/>
          <w:kern w:val="13"/>
          <w:sz w:val="24"/>
          <w:szCs w:val="24"/>
          <w:lang w:eastAsia="zh-CN"/>
        </w:rPr>
        <w:t>股票期权</w:t>
      </w:r>
      <w:r>
        <w:rPr>
          <w:rFonts w:ascii="Times New Roman" w:hAnsi="Times New Roman" w:eastAsia="宋体" w:cs="宋体"/>
          <w:color w:val="auto"/>
          <w:kern w:val="13"/>
          <w:sz w:val="24"/>
          <w:szCs w:val="24"/>
          <w:lang w:eastAsia="zh-CN"/>
        </w:rPr>
        <w:t>的情形。</w:t>
      </w:r>
    </w:p>
    <w:p>
      <w:pPr>
        <w:widowControl w:val="0"/>
        <w:spacing w:before="156" w:beforeLines="50" w:after="156" w:afterLines="50" w:line="360" w:lineRule="auto"/>
        <w:ind w:firstLine="480" w:firstLineChars="20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本所律师认为</w:t>
      </w:r>
      <w:r>
        <w:rPr>
          <w:rFonts w:ascii="Times New Roman" w:hAnsi="Times New Roman" w:eastAsia="宋体" w:cs="宋体"/>
          <w:color w:val="auto"/>
          <w:kern w:val="13"/>
          <w:sz w:val="24"/>
          <w:szCs w:val="24"/>
          <w:lang w:eastAsia="zh-CN"/>
        </w:rPr>
        <w:t>，公司本次授予的条件已经</w:t>
      </w:r>
      <w:r>
        <w:rPr>
          <w:rFonts w:hint="eastAsia" w:ascii="Times New Roman" w:hAnsi="Times New Roman" w:eastAsia="宋体" w:cs="宋体"/>
          <w:color w:val="auto"/>
          <w:kern w:val="13"/>
          <w:sz w:val="24"/>
          <w:szCs w:val="24"/>
          <w:lang w:eastAsia="zh-CN"/>
        </w:rPr>
        <w:t>成就</w:t>
      </w:r>
      <w:r>
        <w:rPr>
          <w:rFonts w:ascii="Times New Roman" w:hAnsi="Times New Roman" w:eastAsia="宋体" w:cs="宋体"/>
          <w:color w:val="auto"/>
          <w:kern w:val="13"/>
          <w:sz w:val="24"/>
          <w:szCs w:val="24"/>
          <w:lang w:eastAsia="zh-CN"/>
        </w:rPr>
        <w:t>，公司</w:t>
      </w:r>
      <w:r>
        <w:rPr>
          <w:rFonts w:hint="eastAsia" w:ascii="Times New Roman" w:hAnsi="Times New Roman" w:eastAsia="宋体" w:cs="宋体"/>
          <w:color w:val="auto"/>
          <w:kern w:val="13"/>
          <w:sz w:val="24"/>
          <w:szCs w:val="24"/>
          <w:lang w:eastAsia="zh-CN"/>
        </w:rPr>
        <w:t>本次授予</w:t>
      </w:r>
      <w:r>
        <w:rPr>
          <w:rFonts w:ascii="Times New Roman" w:hAnsi="Times New Roman" w:eastAsia="宋体" w:cs="宋体"/>
          <w:color w:val="auto"/>
          <w:kern w:val="13"/>
          <w:sz w:val="24"/>
          <w:szCs w:val="24"/>
          <w:lang w:eastAsia="zh-CN"/>
        </w:rPr>
        <w:t>符合《</w:t>
      </w:r>
      <w:r>
        <w:rPr>
          <w:rFonts w:hint="eastAsia" w:ascii="Times New Roman" w:hAnsi="Times New Roman" w:eastAsia="宋体" w:cs="宋体"/>
          <w:color w:val="auto"/>
          <w:kern w:val="13"/>
          <w:sz w:val="24"/>
          <w:szCs w:val="24"/>
          <w:lang w:eastAsia="zh-CN"/>
        </w:rPr>
        <w:t>股权激励</w:t>
      </w:r>
      <w:r>
        <w:rPr>
          <w:rFonts w:ascii="Times New Roman" w:hAnsi="Times New Roman" w:eastAsia="宋体" w:cs="宋体"/>
          <w:color w:val="auto"/>
          <w:kern w:val="13"/>
          <w:sz w:val="24"/>
          <w:szCs w:val="24"/>
          <w:lang w:eastAsia="zh-CN"/>
        </w:rPr>
        <w:t>管理办法》</w:t>
      </w:r>
      <w:r>
        <w:rPr>
          <w:rFonts w:hint="eastAsia" w:ascii="Times New Roman" w:hAnsi="Times New Roman" w:eastAsia="宋体" w:cs="宋体"/>
          <w:color w:val="auto"/>
          <w:kern w:val="13"/>
          <w:sz w:val="24"/>
          <w:szCs w:val="24"/>
          <w:lang w:eastAsia="zh-CN"/>
        </w:rPr>
        <w:t>《上市规则》等法律、法规和规范性文件以及</w:t>
      </w:r>
      <w:r>
        <w:rPr>
          <w:rFonts w:ascii="Times New Roman" w:hAnsi="Times New Roman" w:eastAsia="宋体" w:cs="宋体"/>
          <w:color w:val="auto"/>
          <w:kern w:val="13"/>
          <w:sz w:val="24"/>
          <w:szCs w:val="24"/>
          <w:lang w:eastAsia="zh-CN"/>
        </w:rPr>
        <w:t>《激励计划》的</w:t>
      </w:r>
      <w:r>
        <w:rPr>
          <w:rFonts w:hint="eastAsia" w:ascii="Times New Roman" w:hAnsi="Times New Roman" w:eastAsia="宋体" w:cs="宋体"/>
          <w:color w:val="auto"/>
          <w:kern w:val="13"/>
          <w:sz w:val="24"/>
          <w:szCs w:val="24"/>
          <w:lang w:eastAsia="zh-CN"/>
        </w:rPr>
        <w:t>有</w:t>
      </w:r>
      <w:r>
        <w:rPr>
          <w:rFonts w:ascii="Times New Roman" w:hAnsi="Times New Roman" w:eastAsia="宋体" w:cs="宋体"/>
          <w:color w:val="auto"/>
          <w:kern w:val="13"/>
          <w:sz w:val="24"/>
          <w:szCs w:val="24"/>
          <w:lang w:eastAsia="zh-CN"/>
        </w:rPr>
        <w:t>关规定。</w:t>
      </w:r>
    </w:p>
    <w:p>
      <w:pPr>
        <w:widowControl w:val="0"/>
        <w:numPr>
          <w:ilvl w:val="0"/>
          <w:numId w:val="2"/>
        </w:numPr>
        <w:spacing w:before="156" w:beforeLines="50" w:after="156" w:afterLines="50" w:line="360" w:lineRule="auto"/>
        <w:ind w:firstLine="482" w:firstLineChars="200"/>
        <w:jc w:val="both"/>
        <w:rPr>
          <w:rFonts w:ascii="Times New Roman" w:hAnsi="Times New Roman" w:eastAsia="宋体" w:cs="宋体"/>
          <w:b/>
          <w:color w:val="auto"/>
          <w:kern w:val="13"/>
          <w:sz w:val="24"/>
          <w:szCs w:val="24"/>
          <w:lang w:eastAsia="zh-CN"/>
        </w:rPr>
      </w:pPr>
      <w:r>
        <w:rPr>
          <w:rFonts w:hint="eastAsia" w:ascii="Times New Roman" w:hAnsi="Times New Roman" w:eastAsia="宋体" w:cs="宋体"/>
          <w:b/>
          <w:color w:val="auto"/>
          <w:kern w:val="13"/>
          <w:sz w:val="24"/>
          <w:szCs w:val="24"/>
          <w:lang w:eastAsia="zh-CN"/>
        </w:rPr>
        <w:t>本次授予的信息披露</w:t>
      </w:r>
    </w:p>
    <w:p>
      <w:pPr>
        <w:widowControl w:val="0"/>
        <w:spacing w:before="156" w:beforeLines="50" w:after="156" w:afterLines="50" w:line="360" w:lineRule="auto"/>
        <w:ind w:firstLine="480" w:firstLineChars="20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根据公司提供的文件及说明，公司将按照《股权激励管理办法》《上市规则》等法律、法规和规范性文件以及《激励计划》的有关规定，及时公告《</w:t>
      </w:r>
      <w:r>
        <w:rPr>
          <w:rFonts w:hint="eastAsia" w:ascii="Times New Roman" w:hAnsi="Times New Roman" w:eastAsia="宋体" w:cs="宋体"/>
          <w:color w:val="auto"/>
          <w:kern w:val="13"/>
          <w:sz w:val="24"/>
          <w:szCs w:val="24"/>
          <w:lang w:val="en-US" w:eastAsia="zh-CN"/>
        </w:rPr>
        <w:t>关于向激励对象授予预留股票期权的公告</w:t>
      </w:r>
      <w:r>
        <w:rPr>
          <w:rFonts w:hint="eastAsia" w:ascii="Times New Roman" w:hAnsi="Times New Roman" w:eastAsia="宋体" w:cs="宋体"/>
          <w:color w:val="auto"/>
          <w:kern w:val="13"/>
          <w:sz w:val="24"/>
          <w:szCs w:val="24"/>
          <w:lang w:eastAsia="zh-CN"/>
        </w:rPr>
        <w:t>》《2022年股票期权与限制性股票激励计划预留授予激励对象名单》等相关文件。</w:t>
      </w:r>
    </w:p>
    <w:p>
      <w:pPr>
        <w:widowControl w:val="0"/>
        <w:spacing w:before="156" w:beforeLines="50" w:after="156" w:afterLines="50" w:line="360" w:lineRule="auto"/>
        <w:ind w:firstLine="480" w:firstLineChars="20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本所律师认为，公司尚需根据本次激励计划的进展情况，按照《股权激励管理办法》《上市规则》等法律、法规和规范性文件以及《激励计划》《公司章程》的有关规定，及时履行相关的信息披露义务并办理股票授予登记等相关程序。</w:t>
      </w:r>
    </w:p>
    <w:p>
      <w:pPr>
        <w:widowControl w:val="0"/>
        <w:numPr>
          <w:ilvl w:val="0"/>
          <w:numId w:val="2"/>
        </w:numPr>
        <w:spacing w:before="156" w:beforeLines="50" w:after="156" w:afterLines="50" w:line="360" w:lineRule="auto"/>
        <w:ind w:firstLine="482" w:firstLineChars="200"/>
        <w:jc w:val="both"/>
        <w:rPr>
          <w:rFonts w:ascii="Times New Roman" w:hAnsi="Times New Roman" w:eastAsia="宋体" w:cs="宋体"/>
          <w:b/>
          <w:color w:val="auto"/>
          <w:kern w:val="13"/>
          <w:sz w:val="24"/>
          <w:szCs w:val="24"/>
          <w:lang w:eastAsia="zh-CN"/>
        </w:rPr>
      </w:pPr>
      <w:r>
        <w:rPr>
          <w:rFonts w:hint="eastAsia" w:ascii="Times New Roman" w:hAnsi="Times New Roman" w:eastAsia="宋体" w:cs="宋体"/>
          <w:b/>
          <w:color w:val="auto"/>
          <w:kern w:val="13"/>
          <w:sz w:val="24"/>
          <w:szCs w:val="24"/>
          <w:lang w:eastAsia="zh-CN"/>
        </w:rPr>
        <w:t>结论意见</w:t>
      </w:r>
    </w:p>
    <w:p>
      <w:pPr>
        <w:widowControl w:val="0"/>
        <w:spacing w:before="156" w:beforeLines="50" w:after="156" w:afterLines="50" w:line="360" w:lineRule="auto"/>
        <w:ind w:firstLine="480" w:firstLineChars="200"/>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综上，本所律师认为，截至本法律意见出具日：</w:t>
      </w:r>
    </w:p>
    <w:p>
      <w:pPr>
        <w:widowControl w:val="0"/>
        <w:numPr>
          <w:ilvl w:val="0"/>
          <w:numId w:val="11"/>
        </w:numPr>
        <w:spacing w:before="156" w:beforeLines="50" w:after="156" w:afterLines="50" w:line="360" w:lineRule="auto"/>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本次授予已经取得现阶段必要的批准与授权，</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符合《股权激励管理办法》</w:t>
      </w:r>
      <w:r>
        <w:rPr>
          <w:rFonts w:hint="eastAsia" w:ascii="Times New Roman" w:hAnsi="Times New Roman" w:eastAsia="宋体" w:cs="宋体"/>
          <w:color w:val="auto"/>
          <w:kern w:val="13"/>
          <w:sz w:val="24"/>
          <w:szCs w:val="24"/>
          <w:lang w:eastAsia="zh-CN"/>
        </w:rPr>
        <w:t>《上市规则》等法律、法规和规范性文件以及</w:t>
      </w:r>
      <w:r>
        <w:rPr>
          <w:rFonts w:hint="eastAsia" w:ascii="Times New Roman" w:hAnsi="Times New Roman" w:eastAsia="宋体" w:cs="宋体"/>
          <w:bCs/>
          <w:color w:val="000000" w:themeColor="text1"/>
          <w:kern w:val="13"/>
          <w:sz w:val="24"/>
          <w:szCs w:val="24"/>
          <w:lang w:eastAsia="zh-CN"/>
          <w14:textFill>
            <w14:solidFill>
              <w14:schemeClr w14:val="tx1"/>
            </w14:solidFill>
          </w14:textFill>
        </w:rPr>
        <w:t>《激励计划》的有关规定</w:t>
      </w:r>
      <w:r>
        <w:rPr>
          <w:rFonts w:hint="eastAsia" w:ascii="Times New Roman" w:hAnsi="Times New Roman" w:eastAsia="宋体" w:cs="宋体"/>
          <w:color w:val="auto"/>
          <w:kern w:val="13"/>
          <w:sz w:val="24"/>
          <w:szCs w:val="24"/>
          <w:lang w:eastAsia="zh-CN"/>
        </w:rPr>
        <w:t>；</w:t>
      </w:r>
    </w:p>
    <w:p>
      <w:pPr>
        <w:widowControl w:val="0"/>
        <w:numPr>
          <w:ilvl w:val="0"/>
          <w:numId w:val="11"/>
        </w:numPr>
        <w:spacing w:before="156" w:beforeLines="50" w:after="156" w:afterLines="50" w:line="360" w:lineRule="auto"/>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本次授予之预留授权日的确定、本次授予的激励对象、授予数量、</w:t>
      </w:r>
      <w:r>
        <w:rPr>
          <w:rFonts w:hint="eastAsia" w:ascii="Times New Roman" w:hAnsi="Times New Roman" w:eastAsia="宋体" w:cs="宋体"/>
          <w:color w:val="auto"/>
          <w:kern w:val="13"/>
          <w:sz w:val="24"/>
          <w:szCs w:val="24"/>
          <w:lang w:val="en-US" w:eastAsia="zh-CN"/>
        </w:rPr>
        <w:t>行权</w:t>
      </w:r>
      <w:r>
        <w:rPr>
          <w:rFonts w:hint="eastAsia" w:ascii="Times New Roman" w:hAnsi="Times New Roman" w:eastAsia="宋体" w:cs="宋体"/>
          <w:color w:val="auto"/>
          <w:kern w:val="13"/>
          <w:sz w:val="24"/>
          <w:szCs w:val="24"/>
          <w:lang w:eastAsia="zh-CN"/>
        </w:rPr>
        <w:t>价格符合《股权激励管理办法》《上市规则》等法律、法规和规范性文件以及《激励计划》的有关规定；</w:t>
      </w:r>
    </w:p>
    <w:p>
      <w:pPr>
        <w:widowControl w:val="0"/>
        <w:numPr>
          <w:ilvl w:val="0"/>
          <w:numId w:val="11"/>
        </w:numPr>
        <w:spacing w:before="156" w:beforeLines="50" w:after="156" w:afterLines="50" w:line="360" w:lineRule="auto"/>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本次授予的条件已经成就，公司本次授予符合《股权激励管理办法》《上市规则》等法律、法规和规范性文件以及《激励计划》的有关规定；</w:t>
      </w:r>
    </w:p>
    <w:p>
      <w:pPr>
        <w:widowControl w:val="0"/>
        <w:numPr>
          <w:ilvl w:val="0"/>
          <w:numId w:val="11"/>
        </w:numPr>
        <w:spacing w:before="156" w:beforeLines="50" w:after="156" w:afterLines="50" w:line="360" w:lineRule="auto"/>
        <w:jc w:val="both"/>
        <w:rPr>
          <w:rFonts w:ascii="Times New Roman" w:hAnsi="Times New Roman" w:eastAsia="宋体" w:cs="宋体"/>
          <w:color w:val="auto"/>
          <w:kern w:val="13"/>
          <w:sz w:val="24"/>
          <w:szCs w:val="24"/>
          <w:lang w:eastAsia="zh-CN"/>
        </w:rPr>
      </w:pPr>
      <w:r>
        <w:rPr>
          <w:rFonts w:hint="eastAsia" w:ascii="Times New Roman" w:hAnsi="Times New Roman" w:eastAsia="宋体" w:cs="宋体"/>
          <w:color w:val="auto"/>
          <w:kern w:val="13"/>
          <w:sz w:val="24"/>
          <w:szCs w:val="24"/>
          <w:lang w:eastAsia="zh-CN"/>
        </w:rPr>
        <w:t>公司尚需按照《股权激励管理办法》《上市规则》等法律、法规和规范性文件以及《激励计划》《公司章程》的有关规定，及时履行相关的信息披露义务并办理股票授予登记等相关程序。</w:t>
      </w:r>
    </w:p>
    <w:p>
      <w:pPr>
        <w:widowControl w:val="0"/>
        <w:spacing w:before="156" w:beforeLines="50" w:after="156" w:afterLines="50" w:line="360" w:lineRule="auto"/>
        <w:ind w:firstLine="480" w:firstLineChars="200"/>
        <w:jc w:val="both"/>
        <w:rPr>
          <w:rFonts w:ascii="Times New Roman" w:hAnsi="Times New Roman" w:eastAsia="宋体" w:cs="宋体"/>
          <w:color w:val="auto"/>
          <w:kern w:val="13"/>
          <w:sz w:val="24"/>
          <w:szCs w:val="24"/>
          <w:lang w:eastAsia="zh-CN"/>
        </w:rPr>
      </w:pPr>
      <w:r>
        <w:rPr>
          <w:rFonts w:ascii="Times New Roman" w:hAnsi="Times New Roman" w:eastAsia="宋体" w:cs="宋体"/>
          <w:color w:val="auto"/>
          <w:kern w:val="13"/>
          <w:sz w:val="24"/>
          <w:szCs w:val="24"/>
          <w:lang w:eastAsia="zh-CN"/>
        </w:rPr>
        <w:t>本法律意见一式</w:t>
      </w:r>
      <w:r>
        <w:rPr>
          <w:rFonts w:hint="eastAsia" w:ascii="Times New Roman" w:hAnsi="Times New Roman" w:eastAsia="宋体" w:cs="宋体"/>
          <w:color w:val="auto"/>
          <w:kern w:val="13"/>
          <w:sz w:val="24"/>
          <w:szCs w:val="24"/>
          <w:lang w:eastAsia="zh-CN"/>
        </w:rPr>
        <w:t>叁</w:t>
      </w:r>
      <w:r>
        <w:rPr>
          <w:rFonts w:ascii="Times New Roman" w:hAnsi="Times New Roman" w:eastAsia="宋体" w:cs="宋体"/>
          <w:color w:val="auto"/>
          <w:kern w:val="13"/>
          <w:sz w:val="24"/>
          <w:szCs w:val="24"/>
          <w:lang w:eastAsia="zh-CN"/>
        </w:rPr>
        <w:t>份，</w:t>
      </w:r>
      <w:r>
        <w:rPr>
          <w:rFonts w:hint="eastAsia" w:ascii="Times New Roman" w:hAnsi="Times New Roman" w:eastAsia="宋体" w:cs="宋体"/>
          <w:color w:val="auto"/>
          <w:kern w:val="13"/>
          <w:sz w:val="24"/>
          <w:szCs w:val="24"/>
          <w:lang w:eastAsia="zh-CN"/>
        </w:rPr>
        <w:t>由本所经办律师签字并加盖本所公章后生效</w:t>
      </w:r>
      <w:r>
        <w:rPr>
          <w:rFonts w:ascii="Times New Roman" w:hAnsi="Times New Roman" w:eastAsia="宋体" w:cs="宋体"/>
          <w:color w:val="auto"/>
          <w:kern w:val="13"/>
          <w:sz w:val="24"/>
          <w:szCs w:val="24"/>
          <w:lang w:eastAsia="zh-CN"/>
        </w:rPr>
        <w:t>。</w:t>
      </w:r>
    </w:p>
    <w:p>
      <w:pPr>
        <w:widowControl w:val="0"/>
        <w:spacing w:before="156" w:beforeLines="50" w:after="156" w:afterLines="50" w:line="360" w:lineRule="auto"/>
        <w:ind w:firstLine="480" w:firstLineChars="200"/>
        <w:jc w:val="both"/>
        <w:rPr>
          <w:rFonts w:ascii="Times New Roman" w:hAnsi="Times New Roman" w:eastAsia="宋体" w:cs="宋体"/>
          <w:color w:val="auto"/>
          <w:kern w:val="13"/>
          <w:sz w:val="24"/>
          <w:szCs w:val="24"/>
          <w:lang w:eastAsia="zh-CN"/>
        </w:rPr>
        <w:sectPr>
          <w:headerReference r:id="rId9" w:type="first"/>
          <w:footerReference r:id="rId11" w:type="first"/>
          <w:headerReference r:id="rId8" w:type="default"/>
          <w:footerReference r:id="rId10" w:type="default"/>
          <w:pgSz w:w="11906" w:h="16838"/>
          <w:pgMar w:top="1440" w:right="1800" w:bottom="1440" w:left="1800" w:header="851" w:footer="992" w:gutter="0"/>
          <w:pgNumType w:start="1"/>
          <w:cols w:space="425" w:num="1"/>
          <w:titlePg/>
          <w:docGrid w:type="lines" w:linePitch="312" w:charSpace="0"/>
        </w:sectPr>
      </w:pPr>
      <w:r>
        <w:rPr>
          <w:rFonts w:ascii="Times New Roman" w:hAnsi="Times New Roman" w:eastAsia="宋体" w:cs="宋体"/>
          <w:color w:val="auto"/>
          <w:kern w:val="13"/>
          <w:sz w:val="24"/>
          <w:szCs w:val="24"/>
          <w:lang w:eastAsia="zh-CN"/>
        </w:rPr>
        <w:t>（以下无正文</w:t>
      </w:r>
      <w:r>
        <w:rPr>
          <w:rFonts w:hint="eastAsia" w:ascii="Times New Roman" w:hAnsi="Times New Roman" w:eastAsia="宋体" w:cs="宋体"/>
          <w:color w:val="auto"/>
          <w:kern w:val="13"/>
          <w:sz w:val="24"/>
          <w:szCs w:val="24"/>
          <w:lang w:eastAsia="zh-CN"/>
        </w:rPr>
        <w:t>，接签署页）</w:t>
      </w:r>
    </w:p>
    <w:p>
      <w:pPr>
        <w:spacing w:before="156" w:beforeLines="50" w:after="156" w:afterLines="50" w:line="360" w:lineRule="auto"/>
        <w:rPr>
          <w:rFonts w:ascii="Times New Roman" w:hAnsi="Times New Roman" w:eastAsia="宋体" w:cs="宋体"/>
          <w:sz w:val="24"/>
          <w:lang w:eastAsia="zh-CN"/>
        </w:rPr>
      </w:pPr>
      <w:bookmarkStart w:id="6" w:name="_GoBack"/>
      <w:bookmarkEnd w:id="6"/>
      <w:r>
        <w:rPr>
          <w:rFonts w:ascii="Times New Roman" w:hAnsi="Times New Roman" w:eastAsia="宋体" w:cs="宋体"/>
          <w:sz w:val="24"/>
          <w:lang w:eastAsia="zh-CN"/>
        </w:rPr>
        <w:t>（</w:t>
      </w:r>
      <w:r>
        <w:rPr>
          <w:rFonts w:hint="eastAsia" w:ascii="Times New Roman" w:hAnsi="Times New Roman" w:eastAsia="宋体" w:cs="宋体"/>
          <w:sz w:val="24"/>
          <w:lang w:eastAsia="zh-CN"/>
        </w:rPr>
        <w:t>此</w:t>
      </w:r>
      <w:r>
        <w:rPr>
          <w:rFonts w:ascii="Times New Roman" w:hAnsi="Times New Roman" w:eastAsia="宋体" w:cs="宋体"/>
          <w:sz w:val="24"/>
          <w:lang w:eastAsia="zh-CN"/>
        </w:rPr>
        <w:t>页为《北京德恒律师事务所关于</w:t>
      </w:r>
      <w:r>
        <w:rPr>
          <w:rFonts w:hint="eastAsia" w:ascii="Times New Roman" w:hAnsi="Times New Roman" w:eastAsia="宋体" w:cs="宋体"/>
          <w:sz w:val="24"/>
          <w:lang w:eastAsia="zh-CN"/>
        </w:rPr>
        <w:t>厦门万里石</w:t>
      </w:r>
      <w:r>
        <w:rPr>
          <w:rFonts w:ascii="Times New Roman" w:hAnsi="Times New Roman" w:eastAsia="宋体" w:cs="宋体"/>
          <w:sz w:val="24"/>
          <w:lang w:eastAsia="zh-CN"/>
        </w:rPr>
        <w:t>股份有限公司2022年</w:t>
      </w:r>
      <w:r>
        <w:rPr>
          <w:rFonts w:hint="eastAsia" w:ascii="Times New Roman" w:hAnsi="Times New Roman" w:eastAsia="宋体" w:cs="宋体"/>
          <w:sz w:val="24"/>
          <w:lang w:eastAsia="zh-CN"/>
        </w:rPr>
        <w:t>股票期权与</w:t>
      </w:r>
      <w:r>
        <w:rPr>
          <w:rFonts w:ascii="Times New Roman" w:hAnsi="Times New Roman" w:eastAsia="宋体" w:cs="宋体"/>
          <w:sz w:val="24"/>
          <w:lang w:eastAsia="zh-CN"/>
        </w:rPr>
        <w:t>限制性股票激励计划</w:t>
      </w:r>
      <w:r>
        <w:rPr>
          <w:rFonts w:hint="eastAsia" w:ascii="Times New Roman" w:hAnsi="Times New Roman" w:eastAsia="宋体" w:cs="宋体"/>
          <w:sz w:val="24"/>
          <w:lang w:eastAsia="zh-CN"/>
        </w:rPr>
        <w:t>预留授予相关事项</w:t>
      </w:r>
      <w:r>
        <w:rPr>
          <w:rFonts w:ascii="Times New Roman" w:hAnsi="Times New Roman" w:eastAsia="宋体" w:cs="宋体"/>
          <w:sz w:val="24"/>
          <w:lang w:eastAsia="zh-CN"/>
        </w:rPr>
        <w:t>的法律意见》之签署页）</w:t>
      </w:r>
    </w:p>
    <w:p>
      <w:pPr>
        <w:spacing w:before="156" w:beforeLines="50" w:after="156" w:afterLines="50" w:line="360" w:lineRule="auto"/>
        <w:jc w:val="right"/>
        <w:rPr>
          <w:rFonts w:ascii="Times New Roman" w:hAnsi="Times New Roman" w:eastAsia="宋体" w:cs="宋体"/>
          <w:sz w:val="24"/>
          <w:lang w:eastAsia="zh-CN"/>
        </w:rPr>
      </w:pPr>
    </w:p>
    <w:p>
      <w:pPr>
        <w:spacing w:before="156" w:beforeLines="50" w:after="156" w:afterLines="50" w:line="360" w:lineRule="auto"/>
        <w:jc w:val="right"/>
        <w:rPr>
          <w:rFonts w:ascii="Times New Roman" w:hAnsi="Times New Roman" w:eastAsia="宋体" w:cs="宋体"/>
          <w:sz w:val="24"/>
          <w:lang w:eastAsia="zh-CN"/>
        </w:rPr>
      </w:pPr>
    </w:p>
    <w:p>
      <w:pPr>
        <w:spacing w:before="156" w:beforeLines="50" w:after="156" w:afterLines="50" w:line="360" w:lineRule="auto"/>
        <w:jc w:val="center"/>
        <w:rPr>
          <w:rFonts w:ascii="Times New Roman" w:hAnsi="Times New Roman" w:eastAsia="宋体" w:cs="宋体"/>
          <w:sz w:val="24"/>
          <w:lang w:eastAsia="zh-CN"/>
        </w:rPr>
      </w:pPr>
      <w:r>
        <w:rPr>
          <w:rFonts w:hint="eastAsia" w:ascii="Times New Roman" w:hAnsi="Times New Roman" w:eastAsia="宋体" w:cs="宋体"/>
          <w:sz w:val="24"/>
          <w:lang w:eastAsia="zh-CN"/>
        </w:rPr>
        <w:t xml:space="preserve">                                   </w:t>
      </w:r>
      <w:r>
        <w:rPr>
          <w:rFonts w:ascii="Times New Roman" w:hAnsi="Times New Roman" w:eastAsia="宋体" w:cs="宋体"/>
          <w:sz w:val="24"/>
          <w:lang w:eastAsia="zh-CN"/>
        </w:rPr>
        <w:t>北京德恒律师事务所</w:t>
      </w:r>
    </w:p>
    <w:p>
      <w:pPr>
        <w:spacing w:before="156" w:beforeLines="50" w:after="156" w:afterLines="50" w:line="360" w:lineRule="auto"/>
        <w:rPr>
          <w:rFonts w:ascii="Times New Roman" w:hAnsi="Times New Roman" w:eastAsia="宋体" w:cs="宋体"/>
          <w:lang w:eastAsia="zh-CN"/>
        </w:rPr>
      </w:pPr>
    </w:p>
    <w:p>
      <w:pPr>
        <w:tabs>
          <w:tab w:val="left" w:pos="5040"/>
        </w:tabs>
        <w:spacing w:before="156" w:beforeLines="50" w:after="156" w:afterLines="50" w:line="360" w:lineRule="auto"/>
        <w:jc w:val="both"/>
        <w:rPr>
          <w:rFonts w:ascii="Times New Roman" w:hAnsi="Times New Roman" w:eastAsia="宋体" w:cs="宋体"/>
          <w:sz w:val="24"/>
          <w:lang w:eastAsia="zh-CN"/>
        </w:rPr>
      </w:pPr>
    </w:p>
    <w:p>
      <w:pPr>
        <w:tabs>
          <w:tab w:val="left" w:pos="5040"/>
        </w:tabs>
        <w:spacing w:before="156" w:beforeLines="50" w:after="156" w:afterLines="50" w:line="360" w:lineRule="auto"/>
        <w:jc w:val="both"/>
        <w:rPr>
          <w:rFonts w:ascii="Times New Roman" w:hAnsi="Times New Roman" w:eastAsia="宋体" w:cs="宋体"/>
          <w:sz w:val="24"/>
          <w:lang w:eastAsia="zh-CN"/>
        </w:rPr>
      </w:pPr>
      <w:r>
        <w:rPr>
          <w:rFonts w:ascii="Times New Roman" w:hAnsi="Times New Roman" w:eastAsia="宋体" w:cs="宋体"/>
          <w:sz w:val="24"/>
          <w:lang w:eastAsia="zh-CN"/>
        </w:rPr>
        <w:t xml:space="preserve">                         </w:t>
      </w:r>
      <w:r>
        <w:rPr>
          <w:rFonts w:hint="eastAsia" w:ascii="Times New Roman" w:hAnsi="Times New Roman" w:eastAsia="宋体" w:cs="宋体"/>
          <w:sz w:val="24"/>
          <w:lang w:eastAsia="zh-CN"/>
        </w:rPr>
        <w:t xml:space="preserve">                  </w:t>
      </w:r>
      <w:r>
        <w:rPr>
          <w:rFonts w:ascii="Times New Roman" w:hAnsi="Times New Roman" w:eastAsia="宋体" w:cs="宋体"/>
          <w:sz w:val="24"/>
          <w:lang w:eastAsia="zh-CN"/>
        </w:rPr>
        <w:t xml:space="preserve">负责人： </w:t>
      </w:r>
      <w:r>
        <w:rPr>
          <w:rFonts w:ascii="Times New Roman" w:hAnsi="Times New Roman" w:eastAsia="宋体" w:cs="宋体"/>
          <w:sz w:val="24"/>
          <w:u w:val="single"/>
          <w:lang w:eastAsia="zh-CN"/>
        </w:rPr>
        <w:t xml:space="preserve">    </w:t>
      </w:r>
      <w:r>
        <w:rPr>
          <w:rFonts w:ascii="Times New Roman" w:hAnsi="Times New Roman" w:eastAsia="宋体" w:cs="宋体"/>
          <w:u w:val="single"/>
          <w:lang w:eastAsia="zh-CN"/>
        </w:rPr>
        <w:t xml:space="preserve">                </w:t>
      </w:r>
      <w:r>
        <w:rPr>
          <w:rFonts w:ascii="Times New Roman" w:hAnsi="Times New Roman" w:eastAsia="宋体" w:cs="宋体"/>
          <w:lang w:eastAsia="zh-CN"/>
        </w:rPr>
        <w:t xml:space="preserve"> </w:t>
      </w:r>
    </w:p>
    <w:p>
      <w:pPr>
        <w:tabs>
          <w:tab w:val="left" w:pos="5040"/>
        </w:tabs>
        <w:spacing w:before="156" w:beforeLines="50" w:after="156" w:afterLines="50" w:line="360" w:lineRule="auto"/>
        <w:jc w:val="center"/>
        <w:rPr>
          <w:rFonts w:ascii="Times New Roman" w:hAnsi="Times New Roman" w:eastAsia="宋体" w:cs="宋体"/>
          <w:sz w:val="24"/>
          <w:lang w:eastAsia="zh-CN"/>
        </w:rPr>
      </w:pPr>
      <w:r>
        <w:rPr>
          <w:rFonts w:ascii="Times New Roman" w:hAnsi="Times New Roman" w:eastAsia="宋体" w:cs="宋体"/>
          <w:sz w:val="24"/>
          <w:lang w:eastAsia="zh-CN"/>
        </w:rPr>
        <w:t xml:space="preserve">                 </w:t>
      </w:r>
      <w:r>
        <w:rPr>
          <w:rFonts w:ascii="Times New Roman" w:hAnsi="Times New Roman" w:eastAsia="宋体" w:cs="宋体"/>
          <w:lang w:eastAsia="zh-CN"/>
        </w:rPr>
        <w:t xml:space="preserve">                                        </w:t>
      </w:r>
      <w:r>
        <w:rPr>
          <w:rFonts w:ascii="Times New Roman" w:hAnsi="Times New Roman" w:eastAsia="宋体" w:cs="宋体"/>
          <w:sz w:val="24"/>
          <w:szCs w:val="24"/>
          <w:lang w:eastAsia="zh-CN"/>
        </w:rPr>
        <w:t>王  丽</w:t>
      </w:r>
    </w:p>
    <w:p>
      <w:pPr>
        <w:spacing w:before="156" w:beforeLines="50" w:after="156" w:afterLines="50" w:line="360" w:lineRule="auto"/>
        <w:jc w:val="right"/>
        <w:rPr>
          <w:rFonts w:ascii="Times New Roman" w:hAnsi="Times New Roman" w:eastAsia="宋体" w:cs="宋体"/>
          <w:sz w:val="24"/>
          <w:lang w:eastAsia="zh-CN"/>
        </w:rPr>
      </w:pPr>
    </w:p>
    <w:p>
      <w:pPr>
        <w:tabs>
          <w:tab w:val="left" w:pos="600"/>
          <w:tab w:val="left" w:pos="6840"/>
        </w:tabs>
        <w:spacing w:before="156" w:beforeLines="50" w:after="156" w:afterLines="50" w:line="360" w:lineRule="auto"/>
        <w:jc w:val="center"/>
        <w:rPr>
          <w:rFonts w:ascii="Times New Roman" w:hAnsi="Times New Roman" w:eastAsia="宋体" w:cs="宋体"/>
          <w:sz w:val="24"/>
          <w:szCs w:val="24"/>
          <w:lang w:eastAsia="zh-CN"/>
        </w:rPr>
      </w:pPr>
      <w:r>
        <w:rPr>
          <w:rFonts w:ascii="Times New Roman" w:hAnsi="Times New Roman" w:eastAsia="宋体" w:cs="宋体"/>
          <w:sz w:val="24"/>
          <w:szCs w:val="24"/>
          <w:lang w:eastAsia="zh-CN"/>
        </w:rPr>
        <w:t xml:space="preserve">                          </w:t>
      </w:r>
      <w:r>
        <w:rPr>
          <w:rFonts w:hint="eastAsia" w:ascii="Times New Roman" w:hAnsi="Times New Roman" w:eastAsia="宋体" w:cs="宋体"/>
          <w:sz w:val="24"/>
          <w:szCs w:val="24"/>
          <w:lang w:eastAsia="zh-CN"/>
        </w:rPr>
        <w:t>经办</w:t>
      </w:r>
      <w:r>
        <w:rPr>
          <w:rFonts w:ascii="Times New Roman" w:hAnsi="Times New Roman" w:eastAsia="宋体" w:cs="宋体"/>
          <w:sz w:val="24"/>
          <w:szCs w:val="24"/>
          <w:lang w:eastAsia="zh-CN"/>
        </w:rPr>
        <w:t>律师：</w:t>
      </w:r>
      <w:r>
        <w:rPr>
          <w:rFonts w:ascii="Times New Roman" w:hAnsi="Times New Roman" w:eastAsia="宋体" w:cs="宋体"/>
          <w:sz w:val="24"/>
          <w:szCs w:val="24"/>
          <w:u w:val="single"/>
          <w:lang w:eastAsia="zh-CN"/>
        </w:rPr>
        <w:t xml:space="preserve">                 </w:t>
      </w:r>
    </w:p>
    <w:p>
      <w:pPr>
        <w:tabs>
          <w:tab w:val="left" w:pos="6237"/>
        </w:tabs>
        <w:spacing w:before="156" w:beforeLines="50" w:after="156" w:afterLines="50" w:line="360" w:lineRule="auto"/>
        <w:ind w:firstLine="600" w:firstLineChars="250"/>
        <w:jc w:val="center"/>
        <w:rPr>
          <w:rFonts w:ascii="Times New Roman" w:hAnsi="Times New Roman" w:eastAsia="宋体" w:cs="宋体"/>
          <w:sz w:val="24"/>
          <w:szCs w:val="24"/>
          <w:lang w:eastAsia="zh-CN"/>
        </w:rPr>
      </w:pPr>
      <w:r>
        <w:rPr>
          <w:rFonts w:ascii="Times New Roman" w:hAnsi="Times New Roman" w:eastAsia="宋体" w:cs="宋体"/>
          <w:sz w:val="24"/>
          <w:szCs w:val="24"/>
          <w:lang w:eastAsia="zh-CN"/>
        </w:rPr>
        <w:t xml:space="preserve">                      </w:t>
      </w:r>
      <w:r>
        <w:rPr>
          <w:rFonts w:hint="eastAsia" w:ascii="Times New Roman" w:hAnsi="Times New Roman" w:eastAsia="宋体" w:cs="宋体"/>
          <w:sz w:val="24"/>
          <w:szCs w:val="24"/>
          <w:lang w:eastAsia="zh-CN"/>
        </w:rPr>
        <w:t xml:space="preserve">                        张  弛</w:t>
      </w:r>
      <w:r>
        <w:rPr>
          <w:rFonts w:ascii="Times New Roman" w:hAnsi="Times New Roman" w:eastAsia="宋体" w:cs="宋体"/>
          <w:sz w:val="24"/>
          <w:szCs w:val="24"/>
          <w:lang w:eastAsia="zh-CN"/>
        </w:rPr>
        <w:t xml:space="preserve">                        </w:t>
      </w:r>
    </w:p>
    <w:p>
      <w:pPr>
        <w:tabs>
          <w:tab w:val="left" w:pos="6237"/>
        </w:tabs>
        <w:spacing w:before="156" w:beforeLines="50" w:after="156" w:afterLines="50" w:line="360" w:lineRule="auto"/>
        <w:ind w:firstLine="600" w:firstLineChars="250"/>
        <w:jc w:val="center"/>
        <w:rPr>
          <w:rFonts w:ascii="Times New Roman" w:hAnsi="Times New Roman" w:eastAsia="宋体" w:cs="宋体"/>
          <w:sz w:val="24"/>
          <w:szCs w:val="24"/>
          <w:lang w:eastAsia="zh-CN"/>
        </w:rPr>
      </w:pPr>
    </w:p>
    <w:p>
      <w:pPr>
        <w:tabs>
          <w:tab w:val="left" w:pos="600"/>
          <w:tab w:val="left" w:pos="6960"/>
        </w:tabs>
        <w:spacing w:before="156" w:beforeLines="50" w:after="156" w:afterLines="50" w:line="360" w:lineRule="auto"/>
        <w:ind w:firstLine="600" w:firstLineChars="250"/>
        <w:jc w:val="center"/>
        <w:rPr>
          <w:rFonts w:ascii="Times New Roman" w:hAnsi="Times New Roman" w:eastAsia="宋体" w:cs="宋体"/>
          <w:lang w:eastAsia="zh-CN"/>
        </w:rPr>
      </w:pPr>
      <w:r>
        <w:rPr>
          <w:rFonts w:ascii="Times New Roman" w:hAnsi="Times New Roman" w:eastAsia="宋体" w:cs="宋体"/>
          <w:sz w:val="24"/>
          <w:lang w:eastAsia="zh-CN"/>
        </w:rPr>
        <w:t xml:space="preserve">                     </w:t>
      </w:r>
      <w:r>
        <w:rPr>
          <w:rFonts w:hint="eastAsia" w:ascii="Times New Roman" w:hAnsi="Times New Roman" w:eastAsia="宋体" w:cs="宋体"/>
          <w:sz w:val="24"/>
          <w:lang w:eastAsia="zh-CN"/>
        </w:rPr>
        <w:t>经办</w:t>
      </w:r>
      <w:r>
        <w:rPr>
          <w:rFonts w:ascii="Times New Roman" w:hAnsi="Times New Roman" w:eastAsia="宋体" w:cs="宋体"/>
          <w:sz w:val="24"/>
          <w:lang w:eastAsia="zh-CN"/>
        </w:rPr>
        <w:t>律师：</w:t>
      </w:r>
      <w:r>
        <w:rPr>
          <w:rFonts w:ascii="Times New Roman" w:hAnsi="Times New Roman" w:eastAsia="宋体" w:cs="宋体"/>
          <w:sz w:val="24"/>
          <w:szCs w:val="24"/>
          <w:u w:val="single"/>
          <w:lang w:eastAsia="zh-CN"/>
        </w:rPr>
        <w:t xml:space="preserve">                 </w:t>
      </w:r>
      <w:r>
        <w:rPr>
          <w:rFonts w:ascii="Times New Roman" w:hAnsi="Times New Roman" w:eastAsia="宋体" w:cs="宋体"/>
          <w:u w:val="single"/>
          <w:lang w:eastAsia="zh-CN"/>
        </w:rPr>
        <w:t xml:space="preserve"> </w:t>
      </w:r>
    </w:p>
    <w:p>
      <w:pPr>
        <w:tabs>
          <w:tab w:val="left" w:pos="4774"/>
        </w:tabs>
        <w:spacing w:before="156" w:beforeLines="50" w:after="156" w:afterLines="50" w:line="360" w:lineRule="auto"/>
        <w:rPr>
          <w:rFonts w:ascii="Times New Roman" w:hAnsi="Times New Roman" w:eastAsia="宋体" w:cs="宋体"/>
          <w:sz w:val="24"/>
        </w:rPr>
      </w:pPr>
      <w:r>
        <w:rPr>
          <w:rFonts w:ascii="Times New Roman" w:hAnsi="Times New Roman" w:eastAsia="宋体" w:cs="宋体"/>
          <w:lang w:eastAsia="zh-CN"/>
        </w:rPr>
        <w:tab/>
      </w:r>
      <w:r>
        <w:rPr>
          <w:rFonts w:ascii="Times New Roman" w:hAnsi="Times New Roman" w:eastAsia="宋体" w:cs="宋体"/>
          <w:lang w:eastAsia="zh-CN"/>
        </w:rPr>
        <w:t xml:space="preserve">                 </w:t>
      </w:r>
      <w:r>
        <w:rPr>
          <w:rFonts w:ascii="Times New Roman" w:hAnsi="Times New Roman" w:eastAsia="宋体" w:cs="宋体"/>
          <w:sz w:val="24"/>
          <w:lang w:eastAsia="zh-CN"/>
        </w:rPr>
        <w:tab/>
      </w:r>
      <w:r>
        <w:rPr>
          <w:rFonts w:ascii="Times New Roman" w:hAnsi="Times New Roman" w:eastAsia="宋体" w:cs="宋体"/>
          <w:sz w:val="24"/>
          <w:lang w:eastAsia="zh-CN"/>
        </w:rPr>
        <w:t xml:space="preserve"> </w:t>
      </w:r>
      <w:r>
        <w:rPr>
          <w:rFonts w:hint="eastAsia" w:ascii="Times New Roman" w:hAnsi="Times New Roman" w:eastAsia="宋体" w:cs="宋体"/>
          <w:sz w:val="24"/>
          <w:szCs w:val="24"/>
          <w:lang w:eastAsia="zh-CN"/>
        </w:rPr>
        <w:t>冶小倩</w:t>
      </w:r>
    </w:p>
    <w:p>
      <w:pPr>
        <w:tabs>
          <w:tab w:val="left" w:pos="600"/>
          <w:tab w:val="left" w:pos="6840"/>
        </w:tabs>
        <w:spacing w:before="156" w:beforeLines="50" w:after="156" w:afterLines="50" w:line="360" w:lineRule="auto"/>
        <w:ind w:firstLine="500" w:firstLineChars="250"/>
        <w:rPr>
          <w:rFonts w:ascii="Times New Roman" w:hAnsi="Times New Roman" w:eastAsia="宋体" w:cs="宋体"/>
        </w:rPr>
      </w:pPr>
    </w:p>
    <w:p>
      <w:pPr>
        <w:tabs>
          <w:tab w:val="left" w:pos="6237"/>
        </w:tabs>
        <w:spacing w:before="156" w:beforeLines="50" w:after="156" w:afterLines="50" w:line="360" w:lineRule="auto"/>
        <w:jc w:val="right"/>
        <w:rPr>
          <w:rFonts w:ascii="Times New Roman" w:hAnsi="Times New Roman" w:eastAsia="宋体" w:cs="宋体"/>
          <w:color w:val="auto"/>
          <w:kern w:val="2"/>
          <w:sz w:val="24"/>
          <w:szCs w:val="24"/>
          <w:lang w:eastAsia="zh-CN"/>
        </w:rPr>
      </w:pPr>
      <w:r>
        <w:rPr>
          <w:rFonts w:ascii="Times New Roman" w:hAnsi="Times New Roman" w:eastAsia="宋体" w:cs="宋体"/>
          <w:sz w:val="24"/>
        </w:rPr>
        <w:t>年</w:t>
      </w:r>
      <w:r>
        <w:rPr>
          <w:rFonts w:ascii="Times New Roman" w:hAnsi="Times New Roman" w:eastAsia="宋体" w:cs="宋体"/>
          <w:sz w:val="24"/>
          <w:lang w:eastAsia="zh-CN"/>
        </w:rPr>
        <w:t xml:space="preserve">  </w:t>
      </w:r>
      <w:r>
        <w:rPr>
          <w:rFonts w:hint="eastAsia" w:ascii="Times New Roman" w:hAnsi="Times New Roman" w:eastAsia="宋体" w:cs="宋体"/>
          <w:sz w:val="24"/>
          <w:lang w:eastAsia="zh-CN"/>
        </w:rPr>
        <w:t xml:space="preserve"> </w:t>
      </w:r>
      <w:r>
        <w:rPr>
          <w:rFonts w:ascii="Times New Roman" w:hAnsi="Times New Roman" w:eastAsia="宋体" w:cs="宋体"/>
          <w:sz w:val="24"/>
          <w:lang w:eastAsia="zh-CN"/>
        </w:rPr>
        <w:t xml:space="preserve">  月    </w:t>
      </w:r>
      <w:r>
        <w:rPr>
          <w:rFonts w:ascii="Times New Roman" w:hAnsi="Times New Roman" w:eastAsia="宋体" w:cs="宋体"/>
          <w:sz w:val="24"/>
        </w:rPr>
        <w:t>日</w:t>
      </w:r>
    </w:p>
    <w:p>
      <w:pPr>
        <w:widowControl w:val="0"/>
        <w:tabs>
          <w:tab w:val="left" w:pos="6735"/>
        </w:tabs>
        <w:spacing w:line="480" w:lineRule="auto"/>
        <w:ind w:right="240"/>
        <w:jc w:val="both"/>
        <w:rPr>
          <w:rFonts w:ascii="Times New Roman" w:hAnsi="Times New Roman" w:eastAsia="宋体" w:cs="宋体"/>
          <w:color w:val="auto"/>
          <w:kern w:val="2"/>
          <w:sz w:val="24"/>
          <w:szCs w:val="24"/>
          <w:lang w:eastAsia="zh-CN"/>
        </w:rPr>
      </w:pPr>
    </w:p>
    <w:p>
      <w:pPr>
        <w:widowControl w:val="0"/>
        <w:tabs>
          <w:tab w:val="left" w:pos="2318"/>
        </w:tabs>
        <w:spacing w:line="480" w:lineRule="auto"/>
        <w:ind w:right="240"/>
        <w:jc w:val="both"/>
        <w:rPr>
          <w:rFonts w:ascii="Times New Roman" w:hAnsi="Times New Roman" w:eastAsia="宋体" w:cs="宋体"/>
          <w:color w:val="auto"/>
          <w:kern w:val="2"/>
          <w:sz w:val="24"/>
          <w:szCs w:val="24"/>
          <w:lang w:eastAsia="zh-CN"/>
        </w:rPr>
      </w:pPr>
    </w:p>
    <w:sectPr>
      <w:headerReference r:id="rId12" w:type="first"/>
      <w:footerReference r:id="rId13" w:type="firs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40"/>
    </w:pPr>
    <w:r>
      <w:rPr>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eastAsia="zh-CN"/>
                            </w:rPr>
                          </w:pPr>
                          <w:r>
                            <w:rPr>
                              <w:rFonts w:cs="Arial"/>
                              <w:sz w:val="18"/>
                              <w:lang w:eastAsia="zh-CN"/>
                            </w:rPr>
                            <w:fldChar w:fldCharType="begin"/>
                          </w:r>
                          <w:r>
                            <w:rPr>
                              <w:rFonts w:cs="Arial"/>
                              <w:sz w:val="18"/>
                              <w:lang w:eastAsia="zh-CN"/>
                            </w:rPr>
                            <w:instrText xml:space="preserve"> PAGE  \* MERGEFORMAT </w:instrText>
                          </w:r>
                          <w:r>
                            <w:rPr>
                              <w:rFonts w:cs="Arial"/>
                              <w:sz w:val="18"/>
                              <w:lang w:eastAsia="zh-CN"/>
                            </w:rPr>
                            <w:fldChar w:fldCharType="separate"/>
                          </w:r>
                          <w:r>
                            <w:rPr>
                              <w:rFonts w:cs="Arial"/>
                              <w:sz w:val="18"/>
                            </w:rPr>
                            <w:t>7</w:t>
                          </w:r>
                          <w:r>
                            <w:rPr>
                              <w:rFonts w:cs="Arial"/>
                              <w:sz w:val="18"/>
                              <w:lang w:eastAsia="zh-CN"/>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cXfybLAQAAlgMAAA4AAAAAAAAAAQAgAAAAHgEAAGRycy9lMm9E&#10;b2MueG1sUEsFBgAAAAAGAAYAWQEAAFsFAAAAAA==&#10;">
              <v:fill on="f" focussize="0,0"/>
              <v:stroke on="f"/>
              <v:imagedata o:title=""/>
              <o:lock v:ext="edit" aspectratio="f"/>
              <v:textbox inset="0mm,0mm,0mm,0mm" style="mso-fit-shape-to-text:t;">
                <w:txbxContent>
                  <w:p>
                    <w:pPr>
                      <w:snapToGrid w:val="0"/>
                      <w:rPr>
                        <w:sz w:val="18"/>
                        <w:lang w:eastAsia="zh-CN"/>
                      </w:rPr>
                    </w:pPr>
                    <w:r>
                      <w:rPr>
                        <w:rFonts w:cs="Arial"/>
                        <w:sz w:val="18"/>
                        <w:lang w:eastAsia="zh-CN"/>
                      </w:rPr>
                      <w:fldChar w:fldCharType="begin"/>
                    </w:r>
                    <w:r>
                      <w:rPr>
                        <w:rFonts w:cs="Arial"/>
                        <w:sz w:val="18"/>
                        <w:lang w:eastAsia="zh-CN"/>
                      </w:rPr>
                      <w:instrText xml:space="preserve"> PAGE  \* MERGEFORMAT </w:instrText>
                    </w:r>
                    <w:r>
                      <w:rPr>
                        <w:rFonts w:cs="Arial"/>
                        <w:sz w:val="18"/>
                        <w:lang w:eastAsia="zh-CN"/>
                      </w:rPr>
                      <w:fldChar w:fldCharType="separate"/>
                    </w:r>
                    <w:r>
                      <w:rPr>
                        <w:rFonts w:cs="Arial"/>
                        <w:sz w:val="18"/>
                      </w:rPr>
                      <w:t>7</w:t>
                    </w:r>
                    <w:r>
                      <w:rPr>
                        <w:rFonts w:cs="Arial"/>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URgz/LAQAAlgMAAA4AAAAAAAAAAQAgAAAAHgEAAGRycy9lMm9E&#10;b2MueG1sUEsFBgAAAAAGAAYAWQEAAFsFAAAAAA==&#10;">
              <v:fill on="f" focussize="0,0"/>
              <v:stroke on="f"/>
              <v:imagedata o:title=""/>
              <o:lock v:ext="edit" aspectratio="f"/>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8306"/>
      </w:tabs>
    </w:pPr>
    <w:r>
      <w:rPr>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lang w:eastAsia="zh-CN"/>
                            </w:rPr>
                          </w:pP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SaMJrLAQAAlgMAAA4AAAAAAAAAAQAgAAAAHgEAAGRycy9lMm9E&#10;b2MueG1sUEsFBgAAAAAGAAYAWQEAAFsFAAAAAA==&#10;">
              <v:fill on="f" focussize="0,0"/>
              <v:stroke on="f"/>
              <v:imagedata o:title=""/>
              <o:lock v:ext="edit" aspectratio="f"/>
              <v:textbox inset="0mm,0mm,0mm,0mm" style="mso-fit-shape-to-text:t;">
                <w:txbxContent>
                  <w:p>
                    <w:pPr>
                      <w:snapToGrid w:val="0"/>
                      <w:rPr>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center" w:pos="4153"/>
        <w:tab w:val="right" w:pos="8306"/>
      </w:tabs>
      <w:ind w:left="7200" w:hanging="7200" w:hangingChars="3600"/>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ind w:left="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center" w:pos="4153"/>
        <w:tab w:val="right" w:pos="8306"/>
      </w:tabs>
      <w:ind w:left="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bottom w:val="single" w:color="auto" w:sz="4" w:space="1"/>
      </w:pBdr>
      <w:tabs>
        <w:tab w:val="center" w:pos="4153"/>
        <w:tab w:val="right" w:pos="8306"/>
      </w:tabs>
      <w:snapToGrid w:val="0"/>
      <w:jc w:val="right"/>
      <w:rPr>
        <w:lang w:eastAsia="zh-CN"/>
      </w:rPr>
    </w:pPr>
    <w:sdt>
      <w:sdtPr>
        <w:id w:val="1600369973"/>
      </w:sdtPr>
      <w:sdtContent>
        <w:r>
          <w:rPr>
            <w:rFonts w:hint="eastAsia" w:ascii="Times New Roman" w:hAnsi="Times New Roman" w:eastAsia="宋体"/>
            <w:kern w:val="2"/>
            <w:sz w:val="18"/>
            <w:szCs w:val="18"/>
            <w:lang w:eastAsia="zh-CN"/>
          </w:rPr>
          <w:t>北京德恒律师事务所                                                关于厦门万里石股份有限公司                                     2022年股票期权与限制性股票激励计划预留授予相关事项的法律意见</w:t>
        </w:r>
      </w:sdtContent>
    </w:sdt>
  </w:p>
  <w:p>
    <w:pPr>
      <w:pStyle w:val="6"/>
      <w:rPr>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bottom w:val="none" w:color="auto" w:sz="0" w:space="1"/>
      </w:pBdr>
      <w:tabs>
        <w:tab w:val="center" w:pos="4153"/>
        <w:tab w:val="right" w:pos="8306"/>
      </w:tabs>
      <w:snapToGrid w:val="0"/>
      <w:jc w:val="both"/>
      <w:rPr>
        <w:rFonts w:ascii="Times New Roman" w:hAnsi="Times New Roman" w:eastAsia="宋体"/>
        <w:kern w:val="2"/>
        <w:sz w:val="18"/>
        <w:szCs w:val="18"/>
        <w:lang w:eastAsia="zh-CN"/>
      </w:rPr>
    </w:pPr>
    <w:r>
      <w:rPr>
        <w:rFonts w:hint="eastAsia" w:ascii="Times New Roman" w:hAnsi="Times New Roman" w:eastAsia="宋体"/>
        <w:kern w:val="2"/>
        <w:sz w:val="18"/>
        <w:szCs w:val="18"/>
        <w:lang w:eastAsia="zh-CN"/>
      </w:rPr>
      <w:t>北京德恒律师事务所                                                关于厦门万里石股份有限公司</w:t>
    </w:r>
  </w:p>
  <w:p>
    <w:pPr>
      <w:pStyle w:val="6"/>
      <w:widowControl w:val="0"/>
      <w:pBdr>
        <w:bottom w:val="single" w:color="000000" w:sz="4" w:space="1"/>
      </w:pBdr>
      <w:tabs>
        <w:tab w:val="center" w:pos="4153"/>
        <w:tab w:val="right" w:pos="8306"/>
      </w:tabs>
      <w:snapToGrid w:val="0"/>
      <w:jc w:val="both"/>
      <w:rPr>
        <w:lang w:eastAsia="zh-CN"/>
      </w:rPr>
    </w:pPr>
    <w:r>
      <w:rPr>
        <w:rFonts w:hint="eastAsia" w:ascii="Times New Roman" w:hAnsi="Times New Roman" w:eastAsia="宋体"/>
        <w:kern w:val="2"/>
        <w:sz w:val="18"/>
        <w:szCs w:val="18"/>
        <w:lang w:eastAsia="zh-CN"/>
      </w:rPr>
      <w:t xml:space="preserve">                                2022年股票期权与限制性股票激励计划预留授予相关事项的法律意见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val="0"/>
      <w:pBdr>
        <w:bottom w:val="none" w:color="auto" w:sz="0" w:space="1"/>
      </w:pBdr>
      <w:tabs>
        <w:tab w:val="center" w:pos="4153"/>
        <w:tab w:val="right" w:pos="8306"/>
      </w:tabs>
      <w:snapToGrid w:val="0"/>
      <w:jc w:val="both"/>
      <w:rPr>
        <w:rFonts w:ascii="Times New Roman" w:hAnsi="Times New Roman" w:eastAsia="宋体"/>
        <w:kern w:val="2"/>
        <w:sz w:val="18"/>
        <w:szCs w:val="18"/>
        <w:lang w:eastAsia="zh-CN"/>
      </w:rPr>
    </w:pPr>
    <w:r>
      <w:rPr>
        <w:rFonts w:hint="eastAsia" w:ascii="Times New Roman" w:hAnsi="Times New Roman" w:eastAsia="宋体"/>
        <w:kern w:val="2"/>
        <w:sz w:val="18"/>
        <w:szCs w:val="18"/>
        <w:lang w:eastAsia="zh-CN"/>
      </w:rPr>
      <w:t>北京德恒律师事务所                                                关于厦门万里石股份有限公司</w:t>
    </w:r>
  </w:p>
  <w:p>
    <w:pPr>
      <w:pStyle w:val="6"/>
      <w:pBdr>
        <w:bottom w:val="single" w:color="auto" w:sz="4" w:space="0"/>
      </w:pBdr>
      <w:jc w:val="both"/>
      <w:rPr>
        <w:lang w:eastAsia="zh-CN"/>
      </w:rPr>
    </w:pPr>
    <w:r>
      <w:rPr>
        <w:rFonts w:hint="eastAsia" w:ascii="Times New Roman" w:hAnsi="Times New Roman" w:eastAsia="宋体"/>
        <w:kern w:val="2"/>
        <w:sz w:val="18"/>
        <w:szCs w:val="18"/>
        <w:lang w:eastAsia="zh-CN"/>
      </w:rPr>
      <w:t xml:space="preserve">                                2022年股票期权与限制性股票激励计划预留授予相关事项的法律意见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2295C"/>
    <w:multiLevelType w:val="singleLevel"/>
    <w:tmpl w:val="8532295C"/>
    <w:lvl w:ilvl="0" w:tentative="0">
      <w:start w:val="1"/>
      <w:numFmt w:val="chineseCounting"/>
      <w:suff w:val="nothing"/>
      <w:lvlText w:val="（%1）"/>
      <w:lvlJc w:val="left"/>
      <w:pPr>
        <w:ind w:left="0" w:firstLine="420"/>
      </w:pPr>
      <w:rPr>
        <w:rFonts w:hint="eastAsia"/>
      </w:rPr>
    </w:lvl>
  </w:abstractNum>
  <w:abstractNum w:abstractNumId="1">
    <w:nsid w:val="AB2712AB"/>
    <w:multiLevelType w:val="singleLevel"/>
    <w:tmpl w:val="AB2712AB"/>
    <w:lvl w:ilvl="0" w:tentative="0">
      <w:start w:val="1"/>
      <w:numFmt w:val="decimalEnclosedCircleChinese"/>
      <w:suff w:val="nothing"/>
      <w:lvlText w:val="%1　"/>
      <w:lvlJc w:val="left"/>
      <w:pPr>
        <w:ind w:left="0" w:firstLine="400"/>
      </w:pPr>
      <w:rPr>
        <w:rFonts w:hint="eastAsia" w:ascii="Times New Roman" w:hAnsi="Times New Roman" w:cs="Times New Roman"/>
      </w:rPr>
    </w:lvl>
  </w:abstractNum>
  <w:abstractNum w:abstractNumId="2">
    <w:nsid w:val="BA12FDB3"/>
    <w:multiLevelType w:val="singleLevel"/>
    <w:tmpl w:val="BA12FDB3"/>
    <w:lvl w:ilvl="0" w:tentative="0">
      <w:start w:val="1"/>
      <w:numFmt w:val="chineseCounting"/>
      <w:suff w:val="nothing"/>
      <w:lvlText w:val="（%1）"/>
      <w:lvlJc w:val="left"/>
      <w:pPr>
        <w:ind w:left="0" w:firstLine="420"/>
      </w:pPr>
      <w:rPr>
        <w:rFonts w:hint="eastAsia"/>
      </w:rPr>
    </w:lvl>
  </w:abstractNum>
  <w:abstractNum w:abstractNumId="3">
    <w:nsid w:val="C5BBC8F9"/>
    <w:multiLevelType w:val="singleLevel"/>
    <w:tmpl w:val="C5BBC8F9"/>
    <w:lvl w:ilvl="0" w:tentative="0">
      <w:start w:val="1"/>
      <w:numFmt w:val="chineseCounting"/>
      <w:suff w:val="nothing"/>
      <w:lvlText w:val="（%1）"/>
      <w:lvlJc w:val="left"/>
      <w:pPr>
        <w:ind w:left="0" w:firstLine="420"/>
      </w:pPr>
      <w:rPr>
        <w:rFonts w:hint="eastAsia"/>
      </w:rPr>
    </w:lvl>
  </w:abstractNum>
  <w:abstractNum w:abstractNumId="4">
    <w:nsid w:val="E2EC11A5"/>
    <w:multiLevelType w:val="singleLevel"/>
    <w:tmpl w:val="E2EC11A5"/>
    <w:lvl w:ilvl="0" w:tentative="0">
      <w:start w:val="1"/>
      <w:numFmt w:val="decimal"/>
      <w:lvlText w:val="%1."/>
      <w:lvlJc w:val="left"/>
      <w:pPr>
        <w:ind w:left="425" w:hanging="425"/>
      </w:pPr>
      <w:rPr>
        <w:rFonts w:hint="default"/>
      </w:rPr>
    </w:lvl>
  </w:abstractNum>
  <w:abstractNum w:abstractNumId="5">
    <w:nsid w:val="02257C28"/>
    <w:multiLevelType w:val="singleLevel"/>
    <w:tmpl w:val="02257C28"/>
    <w:lvl w:ilvl="0" w:tentative="0">
      <w:start w:val="1"/>
      <w:numFmt w:val="chineseCounting"/>
      <w:suff w:val="nothing"/>
      <w:lvlText w:val="%1、"/>
      <w:lvlJc w:val="left"/>
      <w:pPr>
        <w:ind w:left="0" w:firstLine="1134"/>
      </w:pPr>
      <w:rPr>
        <w:rFonts w:hint="eastAsia"/>
      </w:rPr>
    </w:lvl>
  </w:abstractNum>
  <w:abstractNum w:abstractNumId="6">
    <w:nsid w:val="027ED19D"/>
    <w:multiLevelType w:val="singleLevel"/>
    <w:tmpl w:val="027ED19D"/>
    <w:lvl w:ilvl="0" w:tentative="0">
      <w:start w:val="1"/>
      <w:numFmt w:val="decimal"/>
      <w:lvlText w:val="%1."/>
      <w:lvlJc w:val="left"/>
      <w:pPr>
        <w:ind w:left="425" w:hanging="425"/>
      </w:pPr>
      <w:rPr>
        <w:rFonts w:hint="default"/>
      </w:rPr>
    </w:lvl>
  </w:abstractNum>
  <w:abstractNum w:abstractNumId="7">
    <w:nsid w:val="09171318"/>
    <w:multiLevelType w:val="singleLevel"/>
    <w:tmpl w:val="09171318"/>
    <w:lvl w:ilvl="0" w:tentative="0">
      <w:start w:val="1"/>
      <w:numFmt w:val="decimal"/>
      <w:lvlText w:val="%1."/>
      <w:lvlJc w:val="left"/>
      <w:pPr>
        <w:ind w:left="425" w:hanging="425"/>
      </w:pPr>
      <w:rPr>
        <w:rFonts w:hint="default"/>
      </w:rPr>
    </w:lvl>
  </w:abstractNum>
  <w:abstractNum w:abstractNumId="8">
    <w:nsid w:val="40053358"/>
    <w:multiLevelType w:val="singleLevel"/>
    <w:tmpl w:val="40053358"/>
    <w:lvl w:ilvl="0" w:tentative="0">
      <w:start w:val="1"/>
      <w:numFmt w:val="decimalEnclosedCircleChinese"/>
      <w:suff w:val="nothing"/>
      <w:lvlText w:val="%1　"/>
      <w:lvlJc w:val="left"/>
      <w:pPr>
        <w:ind w:left="0" w:firstLine="400"/>
      </w:pPr>
      <w:rPr>
        <w:rFonts w:hint="eastAsia"/>
      </w:rPr>
    </w:lvl>
  </w:abstractNum>
  <w:abstractNum w:abstractNumId="9">
    <w:nsid w:val="4473FE31"/>
    <w:multiLevelType w:val="singleLevel"/>
    <w:tmpl w:val="4473FE31"/>
    <w:lvl w:ilvl="0" w:tentative="0">
      <w:start w:val="1"/>
      <w:numFmt w:val="decimal"/>
      <w:lvlText w:val="%1."/>
      <w:lvlJc w:val="left"/>
      <w:pPr>
        <w:ind w:left="425" w:hanging="425"/>
      </w:pPr>
      <w:rPr>
        <w:rFonts w:hint="default"/>
      </w:rPr>
    </w:lvl>
  </w:abstractNum>
  <w:abstractNum w:abstractNumId="10">
    <w:nsid w:val="5459554C"/>
    <w:multiLevelType w:val="singleLevel"/>
    <w:tmpl w:val="5459554C"/>
    <w:lvl w:ilvl="0" w:tentative="0">
      <w:start w:val="1"/>
      <w:numFmt w:val="decimal"/>
      <w:lvlText w:val="(%1)"/>
      <w:lvlJc w:val="left"/>
      <w:pPr>
        <w:ind w:left="425" w:hanging="425"/>
      </w:pPr>
      <w:rPr>
        <w:rFonts w:hint="default"/>
      </w:rPr>
    </w:lvl>
  </w:abstractNum>
  <w:num w:numId="1">
    <w:abstractNumId w:val="9"/>
  </w:num>
  <w:num w:numId="2">
    <w:abstractNumId w:val="5"/>
  </w:num>
  <w:num w:numId="3">
    <w:abstractNumId w:val="0"/>
  </w:num>
  <w:num w:numId="4">
    <w:abstractNumId w:val="4"/>
  </w:num>
  <w:num w:numId="5">
    <w:abstractNumId w:val="6"/>
  </w:num>
  <w:num w:numId="6">
    <w:abstractNumId w:val="7"/>
  </w:num>
  <w:num w:numId="7">
    <w:abstractNumId w:val="3"/>
  </w:num>
  <w:num w:numId="8">
    <w:abstractNumId w:val="10"/>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trackRevisions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kM2EwOGRjNzViZTA1MDNiMDRkOWM5ZmIzZGM3NDMifQ=="/>
  </w:docVars>
  <w:rsids>
    <w:rsidRoot w:val="00FC0006"/>
    <w:rsid w:val="00000193"/>
    <w:rsid w:val="00002FA0"/>
    <w:rsid w:val="000065F2"/>
    <w:rsid w:val="00010180"/>
    <w:rsid w:val="00012C2E"/>
    <w:rsid w:val="00016A73"/>
    <w:rsid w:val="00020EBC"/>
    <w:rsid w:val="00022A7A"/>
    <w:rsid w:val="00025A18"/>
    <w:rsid w:val="00033E9A"/>
    <w:rsid w:val="00034E18"/>
    <w:rsid w:val="00035D00"/>
    <w:rsid w:val="00036C94"/>
    <w:rsid w:val="0003709B"/>
    <w:rsid w:val="00041BB2"/>
    <w:rsid w:val="00044581"/>
    <w:rsid w:val="00044906"/>
    <w:rsid w:val="00050331"/>
    <w:rsid w:val="00057C5E"/>
    <w:rsid w:val="00064B96"/>
    <w:rsid w:val="000662D5"/>
    <w:rsid w:val="0007018E"/>
    <w:rsid w:val="0007363B"/>
    <w:rsid w:val="000736FB"/>
    <w:rsid w:val="0007552D"/>
    <w:rsid w:val="000760A7"/>
    <w:rsid w:val="00076E53"/>
    <w:rsid w:val="00077724"/>
    <w:rsid w:val="0008085E"/>
    <w:rsid w:val="00082307"/>
    <w:rsid w:val="000858BE"/>
    <w:rsid w:val="00086A4D"/>
    <w:rsid w:val="00087658"/>
    <w:rsid w:val="00087922"/>
    <w:rsid w:val="00087C92"/>
    <w:rsid w:val="00092D2B"/>
    <w:rsid w:val="00093D37"/>
    <w:rsid w:val="00096ADA"/>
    <w:rsid w:val="00097837"/>
    <w:rsid w:val="000A08F5"/>
    <w:rsid w:val="000A17E4"/>
    <w:rsid w:val="000A27FA"/>
    <w:rsid w:val="000A3E07"/>
    <w:rsid w:val="000A4DA6"/>
    <w:rsid w:val="000B18F7"/>
    <w:rsid w:val="000B1CD8"/>
    <w:rsid w:val="000B1EC0"/>
    <w:rsid w:val="000B6E31"/>
    <w:rsid w:val="000C5F7E"/>
    <w:rsid w:val="000C655C"/>
    <w:rsid w:val="000C6E28"/>
    <w:rsid w:val="000D2301"/>
    <w:rsid w:val="000D392C"/>
    <w:rsid w:val="000D6A9E"/>
    <w:rsid w:val="000E54C6"/>
    <w:rsid w:val="000E7F6E"/>
    <w:rsid w:val="000F6D9D"/>
    <w:rsid w:val="000F7AA6"/>
    <w:rsid w:val="00105CC3"/>
    <w:rsid w:val="001071CE"/>
    <w:rsid w:val="0010768F"/>
    <w:rsid w:val="00113937"/>
    <w:rsid w:val="00114183"/>
    <w:rsid w:val="00115E27"/>
    <w:rsid w:val="00116AB9"/>
    <w:rsid w:val="00121C68"/>
    <w:rsid w:val="00133220"/>
    <w:rsid w:val="00142FCD"/>
    <w:rsid w:val="00144531"/>
    <w:rsid w:val="00151994"/>
    <w:rsid w:val="001536D7"/>
    <w:rsid w:val="001548D6"/>
    <w:rsid w:val="00156CEB"/>
    <w:rsid w:val="00165515"/>
    <w:rsid w:val="0016785C"/>
    <w:rsid w:val="001706AC"/>
    <w:rsid w:val="001708A4"/>
    <w:rsid w:val="00173FF7"/>
    <w:rsid w:val="00176ABA"/>
    <w:rsid w:val="001770AA"/>
    <w:rsid w:val="00180D49"/>
    <w:rsid w:val="00183FEC"/>
    <w:rsid w:val="001875B1"/>
    <w:rsid w:val="0019364F"/>
    <w:rsid w:val="00197688"/>
    <w:rsid w:val="00197C51"/>
    <w:rsid w:val="001A3187"/>
    <w:rsid w:val="001A496F"/>
    <w:rsid w:val="001B1D43"/>
    <w:rsid w:val="001B25A6"/>
    <w:rsid w:val="001B612B"/>
    <w:rsid w:val="001C2BEA"/>
    <w:rsid w:val="001C3170"/>
    <w:rsid w:val="001C462F"/>
    <w:rsid w:val="001C769B"/>
    <w:rsid w:val="001C78F9"/>
    <w:rsid w:val="001C7F8A"/>
    <w:rsid w:val="001D5CAF"/>
    <w:rsid w:val="001D70E4"/>
    <w:rsid w:val="001E41F8"/>
    <w:rsid w:val="001E5B91"/>
    <w:rsid w:val="001F343A"/>
    <w:rsid w:val="001F663F"/>
    <w:rsid w:val="001F7B06"/>
    <w:rsid w:val="00201FCA"/>
    <w:rsid w:val="00203DBA"/>
    <w:rsid w:val="00204478"/>
    <w:rsid w:val="00205C53"/>
    <w:rsid w:val="00207845"/>
    <w:rsid w:val="002122A1"/>
    <w:rsid w:val="0021352E"/>
    <w:rsid w:val="00215711"/>
    <w:rsid w:val="00217953"/>
    <w:rsid w:val="002233EE"/>
    <w:rsid w:val="0022408C"/>
    <w:rsid w:val="00225297"/>
    <w:rsid w:val="00225AEE"/>
    <w:rsid w:val="00230653"/>
    <w:rsid w:val="00236FFE"/>
    <w:rsid w:val="00241DA2"/>
    <w:rsid w:val="002433CA"/>
    <w:rsid w:val="00244244"/>
    <w:rsid w:val="00246AFB"/>
    <w:rsid w:val="0025215A"/>
    <w:rsid w:val="002524D7"/>
    <w:rsid w:val="00262F74"/>
    <w:rsid w:val="002724D2"/>
    <w:rsid w:val="002724F6"/>
    <w:rsid w:val="00276086"/>
    <w:rsid w:val="002818CA"/>
    <w:rsid w:val="0028413B"/>
    <w:rsid w:val="0028494D"/>
    <w:rsid w:val="00290DD3"/>
    <w:rsid w:val="002950A4"/>
    <w:rsid w:val="002950CE"/>
    <w:rsid w:val="00295D28"/>
    <w:rsid w:val="002A5D9E"/>
    <w:rsid w:val="002A5FD5"/>
    <w:rsid w:val="002B3169"/>
    <w:rsid w:val="002C1E2C"/>
    <w:rsid w:val="002C4901"/>
    <w:rsid w:val="002C7670"/>
    <w:rsid w:val="002D6B96"/>
    <w:rsid w:val="002D70BC"/>
    <w:rsid w:val="002E051C"/>
    <w:rsid w:val="002E0AEC"/>
    <w:rsid w:val="002E3374"/>
    <w:rsid w:val="002E5669"/>
    <w:rsid w:val="002E585E"/>
    <w:rsid w:val="002E69A1"/>
    <w:rsid w:val="002F7113"/>
    <w:rsid w:val="003006BB"/>
    <w:rsid w:val="00301203"/>
    <w:rsid w:val="003040F7"/>
    <w:rsid w:val="00306FEF"/>
    <w:rsid w:val="003105A0"/>
    <w:rsid w:val="003129F5"/>
    <w:rsid w:val="003135EB"/>
    <w:rsid w:val="003155B4"/>
    <w:rsid w:val="00326E9E"/>
    <w:rsid w:val="0032754E"/>
    <w:rsid w:val="003309E4"/>
    <w:rsid w:val="00333253"/>
    <w:rsid w:val="003333BD"/>
    <w:rsid w:val="0033377D"/>
    <w:rsid w:val="003370A2"/>
    <w:rsid w:val="00337640"/>
    <w:rsid w:val="0034540C"/>
    <w:rsid w:val="00350AD9"/>
    <w:rsid w:val="00350C6D"/>
    <w:rsid w:val="003572FC"/>
    <w:rsid w:val="0036205D"/>
    <w:rsid w:val="00362D2D"/>
    <w:rsid w:val="0036475D"/>
    <w:rsid w:val="00364770"/>
    <w:rsid w:val="00367244"/>
    <w:rsid w:val="003672E6"/>
    <w:rsid w:val="00372D57"/>
    <w:rsid w:val="003748DC"/>
    <w:rsid w:val="003814BA"/>
    <w:rsid w:val="0038169E"/>
    <w:rsid w:val="00381DDC"/>
    <w:rsid w:val="0038407A"/>
    <w:rsid w:val="00386802"/>
    <w:rsid w:val="003927E0"/>
    <w:rsid w:val="003A09DE"/>
    <w:rsid w:val="003A51B3"/>
    <w:rsid w:val="003B18F1"/>
    <w:rsid w:val="003B1CE2"/>
    <w:rsid w:val="003B2569"/>
    <w:rsid w:val="003C251E"/>
    <w:rsid w:val="003D59DB"/>
    <w:rsid w:val="003D5A23"/>
    <w:rsid w:val="003D6A40"/>
    <w:rsid w:val="003E10E3"/>
    <w:rsid w:val="003E4D8F"/>
    <w:rsid w:val="003E7DFE"/>
    <w:rsid w:val="003F1878"/>
    <w:rsid w:val="004023D8"/>
    <w:rsid w:val="004024B0"/>
    <w:rsid w:val="0040574F"/>
    <w:rsid w:val="0041221A"/>
    <w:rsid w:val="0041428F"/>
    <w:rsid w:val="00420978"/>
    <w:rsid w:val="004227FC"/>
    <w:rsid w:val="00431E74"/>
    <w:rsid w:val="00433B9D"/>
    <w:rsid w:val="0043711A"/>
    <w:rsid w:val="0043728D"/>
    <w:rsid w:val="00443025"/>
    <w:rsid w:val="004601E1"/>
    <w:rsid w:val="0046298D"/>
    <w:rsid w:val="0046375D"/>
    <w:rsid w:val="00465EBB"/>
    <w:rsid w:val="00467235"/>
    <w:rsid w:val="00470E4A"/>
    <w:rsid w:val="00471C1E"/>
    <w:rsid w:val="00472F39"/>
    <w:rsid w:val="00472F6E"/>
    <w:rsid w:val="00473FC6"/>
    <w:rsid w:val="00480131"/>
    <w:rsid w:val="0048369E"/>
    <w:rsid w:val="00484146"/>
    <w:rsid w:val="00492335"/>
    <w:rsid w:val="00492E38"/>
    <w:rsid w:val="00495A03"/>
    <w:rsid w:val="004A004E"/>
    <w:rsid w:val="004B02A5"/>
    <w:rsid w:val="004B098B"/>
    <w:rsid w:val="004B0E70"/>
    <w:rsid w:val="004B2DB1"/>
    <w:rsid w:val="004B6AEB"/>
    <w:rsid w:val="004B759D"/>
    <w:rsid w:val="004B75EE"/>
    <w:rsid w:val="004C02FA"/>
    <w:rsid w:val="004C6446"/>
    <w:rsid w:val="004C7009"/>
    <w:rsid w:val="004D074A"/>
    <w:rsid w:val="004D15EE"/>
    <w:rsid w:val="004D308B"/>
    <w:rsid w:val="004D4878"/>
    <w:rsid w:val="004D5268"/>
    <w:rsid w:val="004E0961"/>
    <w:rsid w:val="004E0BE5"/>
    <w:rsid w:val="004E28D8"/>
    <w:rsid w:val="004E6066"/>
    <w:rsid w:val="004E7457"/>
    <w:rsid w:val="004E7EEF"/>
    <w:rsid w:val="004F1082"/>
    <w:rsid w:val="004F1B77"/>
    <w:rsid w:val="004F3AAA"/>
    <w:rsid w:val="004F7583"/>
    <w:rsid w:val="005123C3"/>
    <w:rsid w:val="00517B1F"/>
    <w:rsid w:val="00522EDC"/>
    <w:rsid w:val="00532212"/>
    <w:rsid w:val="0053463D"/>
    <w:rsid w:val="00536F97"/>
    <w:rsid w:val="00540616"/>
    <w:rsid w:val="00545009"/>
    <w:rsid w:val="005450AE"/>
    <w:rsid w:val="005452C6"/>
    <w:rsid w:val="00551763"/>
    <w:rsid w:val="00553DCC"/>
    <w:rsid w:val="00554747"/>
    <w:rsid w:val="0056031F"/>
    <w:rsid w:val="00561AC6"/>
    <w:rsid w:val="00564FA5"/>
    <w:rsid w:val="00565DDE"/>
    <w:rsid w:val="00576A34"/>
    <w:rsid w:val="005772FB"/>
    <w:rsid w:val="005809E8"/>
    <w:rsid w:val="00583A4F"/>
    <w:rsid w:val="00584CEA"/>
    <w:rsid w:val="00587ED5"/>
    <w:rsid w:val="00590CB9"/>
    <w:rsid w:val="0059110E"/>
    <w:rsid w:val="005972E1"/>
    <w:rsid w:val="005A279F"/>
    <w:rsid w:val="005A4251"/>
    <w:rsid w:val="005B7454"/>
    <w:rsid w:val="005C503A"/>
    <w:rsid w:val="005D19F2"/>
    <w:rsid w:val="005D3401"/>
    <w:rsid w:val="005D6B37"/>
    <w:rsid w:val="005E0605"/>
    <w:rsid w:val="005E321C"/>
    <w:rsid w:val="005F5AB0"/>
    <w:rsid w:val="006023A0"/>
    <w:rsid w:val="00604C7A"/>
    <w:rsid w:val="0060508A"/>
    <w:rsid w:val="00605230"/>
    <w:rsid w:val="0060784E"/>
    <w:rsid w:val="00607932"/>
    <w:rsid w:val="00607DD2"/>
    <w:rsid w:val="00610F0D"/>
    <w:rsid w:val="006124C6"/>
    <w:rsid w:val="00613E63"/>
    <w:rsid w:val="00616015"/>
    <w:rsid w:val="00617B63"/>
    <w:rsid w:val="00624797"/>
    <w:rsid w:val="006247F6"/>
    <w:rsid w:val="00625CD2"/>
    <w:rsid w:val="006275D7"/>
    <w:rsid w:val="00630297"/>
    <w:rsid w:val="006325A0"/>
    <w:rsid w:val="00633917"/>
    <w:rsid w:val="0063724C"/>
    <w:rsid w:val="00646FD7"/>
    <w:rsid w:val="006515DC"/>
    <w:rsid w:val="00652B65"/>
    <w:rsid w:val="0065311D"/>
    <w:rsid w:val="00664C01"/>
    <w:rsid w:val="00665BAF"/>
    <w:rsid w:val="0067012B"/>
    <w:rsid w:val="00671B19"/>
    <w:rsid w:val="00673FCB"/>
    <w:rsid w:val="00677D65"/>
    <w:rsid w:val="00680C43"/>
    <w:rsid w:val="00682F84"/>
    <w:rsid w:val="00684288"/>
    <w:rsid w:val="0068558A"/>
    <w:rsid w:val="00687230"/>
    <w:rsid w:val="00695406"/>
    <w:rsid w:val="00697D9B"/>
    <w:rsid w:val="006A108B"/>
    <w:rsid w:val="006A1388"/>
    <w:rsid w:val="006A6EA5"/>
    <w:rsid w:val="006B4BD5"/>
    <w:rsid w:val="006D239E"/>
    <w:rsid w:val="006D410F"/>
    <w:rsid w:val="006D52CB"/>
    <w:rsid w:val="006D6EAF"/>
    <w:rsid w:val="006E023A"/>
    <w:rsid w:val="006E0BB5"/>
    <w:rsid w:val="006E1F1D"/>
    <w:rsid w:val="006E3008"/>
    <w:rsid w:val="006F0000"/>
    <w:rsid w:val="006F0153"/>
    <w:rsid w:val="006F1E4A"/>
    <w:rsid w:val="006F4425"/>
    <w:rsid w:val="006F760F"/>
    <w:rsid w:val="00706EC3"/>
    <w:rsid w:val="00707D7D"/>
    <w:rsid w:val="007154B8"/>
    <w:rsid w:val="00715AE1"/>
    <w:rsid w:val="00727015"/>
    <w:rsid w:val="00730E4D"/>
    <w:rsid w:val="00731720"/>
    <w:rsid w:val="007362C9"/>
    <w:rsid w:val="0073720A"/>
    <w:rsid w:val="00741CF1"/>
    <w:rsid w:val="0074580F"/>
    <w:rsid w:val="00745A9B"/>
    <w:rsid w:val="007464BD"/>
    <w:rsid w:val="00746A7A"/>
    <w:rsid w:val="007474D5"/>
    <w:rsid w:val="0075184B"/>
    <w:rsid w:val="0075624B"/>
    <w:rsid w:val="007565F0"/>
    <w:rsid w:val="00756EC5"/>
    <w:rsid w:val="007610DD"/>
    <w:rsid w:val="0076152D"/>
    <w:rsid w:val="007644A7"/>
    <w:rsid w:val="00764B6A"/>
    <w:rsid w:val="00765DA5"/>
    <w:rsid w:val="00776381"/>
    <w:rsid w:val="00777C0D"/>
    <w:rsid w:val="007806E0"/>
    <w:rsid w:val="00781614"/>
    <w:rsid w:val="00782EBF"/>
    <w:rsid w:val="007877A5"/>
    <w:rsid w:val="00791037"/>
    <w:rsid w:val="00797D82"/>
    <w:rsid w:val="007A187F"/>
    <w:rsid w:val="007A492F"/>
    <w:rsid w:val="007A622A"/>
    <w:rsid w:val="007B56F1"/>
    <w:rsid w:val="007B5715"/>
    <w:rsid w:val="007C380F"/>
    <w:rsid w:val="007E036C"/>
    <w:rsid w:val="007E300B"/>
    <w:rsid w:val="007E39D6"/>
    <w:rsid w:val="007E4570"/>
    <w:rsid w:val="007E5198"/>
    <w:rsid w:val="007F77F4"/>
    <w:rsid w:val="00800AC2"/>
    <w:rsid w:val="0081423C"/>
    <w:rsid w:val="00814FC1"/>
    <w:rsid w:val="00825919"/>
    <w:rsid w:val="00825F65"/>
    <w:rsid w:val="00826057"/>
    <w:rsid w:val="00827EEB"/>
    <w:rsid w:val="00837C5A"/>
    <w:rsid w:val="0084154C"/>
    <w:rsid w:val="008417FE"/>
    <w:rsid w:val="0084217C"/>
    <w:rsid w:val="00844CC7"/>
    <w:rsid w:val="0084545A"/>
    <w:rsid w:val="00847050"/>
    <w:rsid w:val="00854B52"/>
    <w:rsid w:val="008576FE"/>
    <w:rsid w:val="00857C36"/>
    <w:rsid w:val="00866D83"/>
    <w:rsid w:val="00872FBB"/>
    <w:rsid w:val="00876452"/>
    <w:rsid w:val="008802D1"/>
    <w:rsid w:val="00885C86"/>
    <w:rsid w:val="008866FB"/>
    <w:rsid w:val="00887F3A"/>
    <w:rsid w:val="00890183"/>
    <w:rsid w:val="008944F2"/>
    <w:rsid w:val="008A04E6"/>
    <w:rsid w:val="008B2E2F"/>
    <w:rsid w:val="008C468C"/>
    <w:rsid w:val="008C5026"/>
    <w:rsid w:val="008D5188"/>
    <w:rsid w:val="008D6342"/>
    <w:rsid w:val="008E1CA5"/>
    <w:rsid w:val="008E215D"/>
    <w:rsid w:val="008F3950"/>
    <w:rsid w:val="008F711E"/>
    <w:rsid w:val="009011F1"/>
    <w:rsid w:val="00905578"/>
    <w:rsid w:val="00907469"/>
    <w:rsid w:val="00907CD8"/>
    <w:rsid w:val="00911042"/>
    <w:rsid w:val="00911567"/>
    <w:rsid w:val="009115F9"/>
    <w:rsid w:val="0091383F"/>
    <w:rsid w:val="00916815"/>
    <w:rsid w:val="00926458"/>
    <w:rsid w:val="0092684F"/>
    <w:rsid w:val="00927414"/>
    <w:rsid w:val="0093427E"/>
    <w:rsid w:val="00936057"/>
    <w:rsid w:val="00936530"/>
    <w:rsid w:val="009449A9"/>
    <w:rsid w:val="00945039"/>
    <w:rsid w:val="00947CAC"/>
    <w:rsid w:val="0095069F"/>
    <w:rsid w:val="00950C5D"/>
    <w:rsid w:val="009513F0"/>
    <w:rsid w:val="00960242"/>
    <w:rsid w:val="00962065"/>
    <w:rsid w:val="009651FF"/>
    <w:rsid w:val="00970182"/>
    <w:rsid w:val="0097626A"/>
    <w:rsid w:val="00977CA2"/>
    <w:rsid w:val="00982DC0"/>
    <w:rsid w:val="00986A44"/>
    <w:rsid w:val="00990EF9"/>
    <w:rsid w:val="009918BA"/>
    <w:rsid w:val="00992609"/>
    <w:rsid w:val="00993731"/>
    <w:rsid w:val="009A1A70"/>
    <w:rsid w:val="009A565A"/>
    <w:rsid w:val="009A7D24"/>
    <w:rsid w:val="009B5C07"/>
    <w:rsid w:val="009B7786"/>
    <w:rsid w:val="009C0461"/>
    <w:rsid w:val="009C4C94"/>
    <w:rsid w:val="009D3750"/>
    <w:rsid w:val="009D3C19"/>
    <w:rsid w:val="009E060D"/>
    <w:rsid w:val="009E1D38"/>
    <w:rsid w:val="009E581D"/>
    <w:rsid w:val="009F7827"/>
    <w:rsid w:val="00A04A07"/>
    <w:rsid w:val="00A33D14"/>
    <w:rsid w:val="00A407D3"/>
    <w:rsid w:val="00A41019"/>
    <w:rsid w:val="00A506FE"/>
    <w:rsid w:val="00A51A82"/>
    <w:rsid w:val="00A5286E"/>
    <w:rsid w:val="00A54ED4"/>
    <w:rsid w:val="00A63021"/>
    <w:rsid w:val="00A64B00"/>
    <w:rsid w:val="00A65B5C"/>
    <w:rsid w:val="00A67243"/>
    <w:rsid w:val="00A67A64"/>
    <w:rsid w:val="00A67A78"/>
    <w:rsid w:val="00A7057A"/>
    <w:rsid w:val="00A72262"/>
    <w:rsid w:val="00A724B5"/>
    <w:rsid w:val="00A72584"/>
    <w:rsid w:val="00A73CA8"/>
    <w:rsid w:val="00A77C75"/>
    <w:rsid w:val="00A822DA"/>
    <w:rsid w:val="00A83048"/>
    <w:rsid w:val="00A85DD8"/>
    <w:rsid w:val="00A871F2"/>
    <w:rsid w:val="00A87F5B"/>
    <w:rsid w:val="00A93865"/>
    <w:rsid w:val="00A961A2"/>
    <w:rsid w:val="00A97F84"/>
    <w:rsid w:val="00AA05C2"/>
    <w:rsid w:val="00AB1288"/>
    <w:rsid w:val="00AB6D4B"/>
    <w:rsid w:val="00AB7A7A"/>
    <w:rsid w:val="00AC164B"/>
    <w:rsid w:val="00AC1D93"/>
    <w:rsid w:val="00AC3BE1"/>
    <w:rsid w:val="00AC409D"/>
    <w:rsid w:val="00AC7602"/>
    <w:rsid w:val="00AD19F8"/>
    <w:rsid w:val="00AD23C7"/>
    <w:rsid w:val="00AD5CDA"/>
    <w:rsid w:val="00AE5AC3"/>
    <w:rsid w:val="00AE5D44"/>
    <w:rsid w:val="00AE676A"/>
    <w:rsid w:val="00AE70E5"/>
    <w:rsid w:val="00AF0228"/>
    <w:rsid w:val="00AF1040"/>
    <w:rsid w:val="00AF56C4"/>
    <w:rsid w:val="00AF5E58"/>
    <w:rsid w:val="00AF7419"/>
    <w:rsid w:val="00B069D3"/>
    <w:rsid w:val="00B10CE3"/>
    <w:rsid w:val="00B114FF"/>
    <w:rsid w:val="00B119FC"/>
    <w:rsid w:val="00B22C34"/>
    <w:rsid w:val="00B26EFE"/>
    <w:rsid w:val="00B33446"/>
    <w:rsid w:val="00B379AC"/>
    <w:rsid w:val="00B41DC4"/>
    <w:rsid w:val="00B462BD"/>
    <w:rsid w:val="00B52F0B"/>
    <w:rsid w:val="00B651E4"/>
    <w:rsid w:val="00B65B66"/>
    <w:rsid w:val="00B8165A"/>
    <w:rsid w:val="00B82CAF"/>
    <w:rsid w:val="00B85B71"/>
    <w:rsid w:val="00B877D2"/>
    <w:rsid w:val="00B87C90"/>
    <w:rsid w:val="00B92090"/>
    <w:rsid w:val="00B923BB"/>
    <w:rsid w:val="00B96050"/>
    <w:rsid w:val="00BA3674"/>
    <w:rsid w:val="00BA4F9E"/>
    <w:rsid w:val="00BB08A5"/>
    <w:rsid w:val="00BB0E37"/>
    <w:rsid w:val="00BB10FA"/>
    <w:rsid w:val="00BB79CE"/>
    <w:rsid w:val="00BC3FFF"/>
    <w:rsid w:val="00BC585B"/>
    <w:rsid w:val="00BC6000"/>
    <w:rsid w:val="00BD1DA5"/>
    <w:rsid w:val="00BD7217"/>
    <w:rsid w:val="00BD779C"/>
    <w:rsid w:val="00BE2DF4"/>
    <w:rsid w:val="00BE40B3"/>
    <w:rsid w:val="00BE50CB"/>
    <w:rsid w:val="00BE5994"/>
    <w:rsid w:val="00BE6262"/>
    <w:rsid w:val="00BE642A"/>
    <w:rsid w:val="00BF130B"/>
    <w:rsid w:val="00BF202C"/>
    <w:rsid w:val="00BF6842"/>
    <w:rsid w:val="00BF6FE7"/>
    <w:rsid w:val="00C01BAE"/>
    <w:rsid w:val="00C01F2B"/>
    <w:rsid w:val="00C03356"/>
    <w:rsid w:val="00C046B1"/>
    <w:rsid w:val="00C05A4A"/>
    <w:rsid w:val="00C109F0"/>
    <w:rsid w:val="00C12C68"/>
    <w:rsid w:val="00C1497E"/>
    <w:rsid w:val="00C14B2F"/>
    <w:rsid w:val="00C154A6"/>
    <w:rsid w:val="00C369CE"/>
    <w:rsid w:val="00C3799F"/>
    <w:rsid w:val="00C42EFD"/>
    <w:rsid w:val="00C43548"/>
    <w:rsid w:val="00C44994"/>
    <w:rsid w:val="00C45240"/>
    <w:rsid w:val="00C56346"/>
    <w:rsid w:val="00C6765F"/>
    <w:rsid w:val="00C70D84"/>
    <w:rsid w:val="00C72385"/>
    <w:rsid w:val="00C73E1F"/>
    <w:rsid w:val="00C7639E"/>
    <w:rsid w:val="00C817D2"/>
    <w:rsid w:val="00C86363"/>
    <w:rsid w:val="00C86EBE"/>
    <w:rsid w:val="00C87971"/>
    <w:rsid w:val="00C90F36"/>
    <w:rsid w:val="00C92E9A"/>
    <w:rsid w:val="00C950EC"/>
    <w:rsid w:val="00C953D9"/>
    <w:rsid w:val="00CA0AA4"/>
    <w:rsid w:val="00CA13DF"/>
    <w:rsid w:val="00CA24D9"/>
    <w:rsid w:val="00CA5287"/>
    <w:rsid w:val="00CA5FE6"/>
    <w:rsid w:val="00CA689D"/>
    <w:rsid w:val="00CB1A9C"/>
    <w:rsid w:val="00CB3FBC"/>
    <w:rsid w:val="00CB542A"/>
    <w:rsid w:val="00CC068E"/>
    <w:rsid w:val="00CC5DD3"/>
    <w:rsid w:val="00CD056E"/>
    <w:rsid w:val="00CD206B"/>
    <w:rsid w:val="00CD544E"/>
    <w:rsid w:val="00CE09A3"/>
    <w:rsid w:val="00CE0CEB"/>
    <w:rsid w:val="00CE3302"/>
    <w:rsid w:val="00CE7CD6"/>
    <w:rsid w:val="00CF1B27"/>
    <w:rsid w:val="00CF384A"/>
    <w:rsid w:val="00CF5828"/>
    <w:rsid w:val="00CF5D5B"/>
    <w:rsid w:val="00CF7D95"/>
    <w:rsid w:val="00D00998"/>
    <w:rsid w:val="00D00F15"/>
    <w:rsid w:val="00D02877"/>
    <w:rsid w:val="00D02C29"/>
    <w:rsid w:val="00D03774"/>
    <w:rsid w:val="00D03BB3"/>
    <w:rsid w:val="00D05315"/>
    <w:rsid w:val="00D116F7"/>
    <w:rsid w:val="00D157AE"/>
    <w:rsid w:val="00D176C1"/>
    <w:rsid w:val="00D23D7A"/>
    <w:rsid w:val="00D2432B"/>
    <w:rsid w:val="00D33D20"/>
    <w:rsid w:val="00D35D9D"/>
    <w:rsid w:val="00D45D05"/>
    <w:rsid w:val="00D50598"/>
    <w:rsid w:val="00D52E40"/>
    <w:rsid w:val="00D56C9E"/>
    <w:rsid w:val="00D579AB"/>
    <w:rsid w:val="00D57C9A"/>
    <w:rsid w:val="00D62C42"/>
    <w:rsid w:val="00D656C0"/>
    <w:rsid w:val="00D67FEE"/>
    <w:rsid w:val="00D77847"/>
    <w:rsid w:val="00D81A88"/>
    <w:rsid w:val="00D81FD6"/>
    <w:rsid w:val="00D836B6"/>
    <w:rsid w:val="00D9493F"/>
    <w:rsid w:val="00D96D39"/>
    <w:rsid w:val="00D97C3C"/>
    <w:rsid w:val="00D97E14"/>
    <w:rsid w:val="00DA3173"/>
    <w:rsid w:val="00DA5D58"/>
    <w:rsid w:val="00DB1092"/>
    <w:rsid w:val="00DB34B0"/>
    <w:rsid w:val="00DC135D"/>
    <w:rsid w:val="00DC174A"/>
    <w:rsid w:val="00DD1206"/>
    <w:rsid w:val="00DD27B6"/>
    <w:rsid w:val="00DD2916"/>
    <w:rsid w:val="00DD5DAE"/>
    <w:rsid w:val="00DE0D52"/>
    <w:rsid w:val="00DF252B"/>
    <w:rsid w:val="00E0043C"/>
    <w:rsid w:val="00E01B9B"/>
    <w:rsid w:val="00E02ABC"/>
    <w:rsid w:val="00E046E4"/>
    <w:rsid w:val="00E05583"/>
    <w:rsid w:val="00E10177"/>
    <w:rsid w:val="00E1229E"/>
    <w:rsid w:val="00E16D45"/>
    <w:rsid w:val="00E23128"/>
    <w:rsid w:val="00E2469A"/>
    <w:rsid w:val="00E25AA3"/>
    <w:rsid w:val="00E32025"/>
    <w:rsid w:val="00E37433"/>
    <w:rsid w:val="00E4630F"/>
    <w:rsid w:val="00E50937"/>
    <w:rsid w:val="00E51F44"/>
    <w:rsid w:val="00E52CFA"/>
    <w:rsid w:val="00E55E58"/>
    <w:rsid w:val="00E606B7"/>
    <w:rsid w:val="00E6157E"/>
    <w:rsid w:val="00E62BF6"/>
    <w:rsid w:val="00E62F79"/>
    <w:rsid w:val="00E6441F"/>
    <w:rsid w:val="00E67E3F"/>
    <w:rsid w:val="00E76997"/>
    <w:rsid w:val="00E81899"/>
    <w:rsid w:val="00E86B8F"/>
    <w:rsid w:val="00E87A57"/>
    <w:rsid w:val="00E9463A"/>
    <w:rsid w:val="00E96FA2"/>
    <w:rsid w:val="00EA4B39"/>
    <w:rsid w:val="00EA7B97"/>
    <w:rsid w:val="00EB0499"/>
    <w:rsid w:val="00EB603C"/>
    <w:rsid w:val="00EC49E1"/>
    <w:rsid w:val="00ED2673"/>
    <w:rsid w:val="00ED3D27"/>
    <w:rsid w:val="00ED54C4"/>
    <w:rsid w:val="00EE0795"/>
    <w:rsid w:val="00EE115E"/>
    <w:rsid w:val="00EE1E5D"/>
    <w:rsid w:val="00EE3454"/>
    <w:rsid w:val="00EE4B54"/>
    <w:rsid w:val="00EF08DC"/>
    <w:rsid w:val="00EF2782"/>
    <w:rsid w:val="00F0042E"/>
    <w:rsid w:val="00F02860"/>
    <w:rsid w:val="00F04D06"/>
    <w:rsid w:val="00F052CA"/>
    <w:rsid w:val="00F054FA"/>
    <w:rsid w:val="00F05903"/>
    <w:rsid w:val="00F062CA"/>
    <w:rsid w:val="00F15EBA"/>
    <w:rsid w:val="00F173B9"/>
    <w:rsid w:val="00F20D5A"/>
    <w:rsid w:val="00F217E1"/>
    <w:rsid w:val="00F24FDD"/>
    <w:rsid w:val="00F303F9"/>
    <w:rsid w:val="00F32181"/>
    <w:rsid w:val="00F35B17"/>
    <w:rsid w:val="00F41782"/>
    <w:rsid w:val="00F433E7"/>
    <w:rsid w:val="00F44EB5"/>
    <w:rsid w:val="00F62412"/>
    <w:rsid w:val="00F653A5"/>
    <w:rsid w:val="00F65994"/>
    <w:rsid w:val="00F65D0C"/>
    <w:rsid w:val="00F72A3C"/>
    <w:rsid w:val="00F76C1D"/>
    <w:rsid w:val="00F77E91"/>
    <w:rsid w:val="00F917A6"/>
    <w:rsid w:val="00F93A63"/>
    <w:rsid w:val="00F93CF1"/>
    <w:rsid w:val="00F97ED1"/>
    <w:rsid w:val="00FA19E7"/>
    <w:rsid w:val="00FA1BD1"/>
    <w:rsid w:val="00FA60B3"/>
    <w:rsid w:val="00FB51C4"/>
    <w:rsid w:val="00FC0006"/>
    <w:rsid w:val="00FC2561"/>
    <w:rsid w:val="00FD53C1"/>
    <w:rsid w:val="00FD5E4D"/>
    <w:rsid w:val="00FE00AD"/>
    <w:rsid w:val="00FE7E0F"/>
    <w:rsid w:val="00FF3865"/>
    <w:rsid w:val="00FF7D4A"/>
    <w:rsid w:val="010943A9"/>
    <w:rsid w:val="011A078E"/>
    <w:rsid w:val="014009E7"/>
    <w:rsid w:val="016C2D4F"/>
    <w:rsid w:val="01DA77A6"/>
    <w:rsid w:val="01E82228"/>
    <w:rsid w:val="01F46996"/>
    <w:rsid w:val="0201029E"/>
    <w:rsid w:val="0202309A"/>
    <w:rsid w:val="02581525"/>
    <w:rsid w:val="0260710F"/>
    <w:rsid w:val="029D5C98"/>
    <w:rsid w:val="02C56C56"/>
    <w:rsid w:val="02E66B31"/>
    <w:rsid w:val="03034C22"/>
    <w:rsid w:val="03143576"/>
    <w:rsid w:val="031E5E72"/>
    <w:rsid w:val="03303CB9"/>
    <w:rsid w:val="03757B6F"/>
    <w:rsid w:val="0383364F"/>
    <w:rsid w:val="038A1BB2"/>
    <w:rsid w:val="03914CEF"/>
    <w:rsid w:val="03B92265"/>
    <w:rsid w:val="03C55E5C"/>
    <w:rsid w:val="03C66CDB"/>
    <w:rsid w:val="03E06E67"/>
    <w:rsid w:val="03E62A05"/>
    <w:rsid w:val="04653F1E"/>
    <w:rsid w:val="0466463B"/>
    <w:rsid w:val="049B27DA"/>
    <w:rsid w:val="05066240"/>
    <w:rsid w:val="050D65F7"/>
    <w:rsid w:val="051232EA"/>
    <w:rsid w:val="051D2EBF"/>
    <w:rsid w:val="055E2D49"/>
    <w:rsid w:val="05690A5F"/>
    <w:rsid w:val="058A40EC"/>
    <w:rsid w:val="058F54C3"/>
    <w:rsid w:val="059C585A"/>
    <w:rsid w:val="05D62F78"/>
    <w:rsid w:val="05E27A0F"/>
    <w:rsid w:val="06457971"/>
    <w:rsid w:val="06B629B1"/>
    <w:rsid w:val="07003538"/>
    <w:rsid w:val="070A64CF"/>
    <w:rsid w:val="074924D2"/>
    <w:rsid w:val="07820CF7"/>
    <w:rsid w:val="078E0406"/>
    <w:rsid w:val="07921E87"/>
    <w:rsid w:val="079B1BEA"/>
    <w:rsid w:val="07EF3471"/>
    <w:rsid w:val="08034C92"/>
    <w:rsid w:val="081C6FE5"/>
    <w:rsid w:val="0824480B"/>
    <w:rsid w:val="082845C1"/>
    <w:rsid w:val="0835603C"/>
    <w:rsid w:val="08391C14"/>
    <w:rsid w:val="087D1B88"/>
    <w:rsid w:val="08846FF2"/>
    <w:rsid w:val="08B36A78"/>
    <w:rsid w:val="08C86668"/>
    <w:rsid w:val="090D665F"/>
    <w:rsid w:val="09313A55"/>
    <w:rsid w:val="093E69C2"/>
    <w:rsid w:val="095C6232"/>
    <w:rsid w:val="0970585C"/>
    <w:rsid w:val="09AF037E"/>
    <w:rsid w:val="09C53944"/>
    <w:rsid w:val="09DE3205"/>
    <w:rsid w:val="09ED0626"/>
    <w:rsid w:val="0A197969"/>
    <w:rsid w:val="0A755B00"/>
    <w:rsid w:val="0A7F0DCC"/>
    <w:rsid w:val="0A884350"/>
    <w:rsid w:val="0A8B2585"/>
    <w:rsid w:val="0AC06209"/>
    <w:rsid w:val="0AD45049"/>
    <w:rsid w:val="0ADA1890"/>
    <w:rsid w:val="0B5A5E67"/>
    <w:rsid w:val="0B5E64A2"/>
    <w:rsid w:val="0B8B64C8"/>
    <w:rsid w:val="0B8E4040"/>
    <w:rsid w:val="0B9A7A75"/>
    <w:rsid w:val="0BD26F95"/>
    <w:rsid w:val="0BFC1173"/>
    <w:rsid w:val="0C1F4F19"/>
    <w:rsid w:val="0C3000C4"/>
    <w:rsid w:val="0C4A3584"/>
    <w:rsid w:val="0CB16C35"/>
    <w:rsid w:val="0CE84E79"/>
    <w:rsid w:val="0CED0068"/>
    <w:rsid w:val="0CFA4428"/>
    <w:rsid w:val="0D1A5F41"/>
    <w:rsid w:val="0D2F411B"/>
    <w:rsid w:val="0D374B59"/>
    <w:rsid w:val="0D551791"/>
    <w:rsid w:val="0D7F04C6"/>
    <w:rsid w:val="0D902CCF"/>
    <w:rsid w:val="0DA55749"/>
    <w:rsid w:val="0DB8472B"/>
    <w:rsid w:val="0DFE5202"/>
    <w:rsid w:val="0E1B63BE"/>
    <w:rsid w:val="0E4B4282"/>
    <w:rsid w:val="0EB511B5"/>
    <w:rsid w:val="0F343327"/>
    <w:rsid w:val="0F6325EB"/>
    <w:rsid w:val="0F847DFE"/>
    <w:rsid w:val="0FAC4C5F"/>
    <w:rsid w:val="0FAE6AE3"/>
    <w:rsid w:val="0FBB12BA"/>
    <w:rsid w:val="0FC91CB4"/>
    <w:rsid w:val="0FE152BC"/>
    <w:rsid w:val="0FE929FB"/>
    <w:rsid w:val="1030024B"/>
    <w:rsid w:val="103F00BE"/>
    <w:rsid w:val="106C352B"/>
    <w:rsid w:val="10D52E6F"/>
    <w:rsid w:val="111E3700"/>
    <w:rsid w:val="113526B5"/>
    <w:rsid w:val="114A03FF"/>
    <w:rsid w:val="117B4E87"/>
    <w:rsid w:val="11E562E9"/>
    <w:rsid w:val="11FD79F3"/>
    <w:rsid w:val="12143277"/>
    <w:rsid w:val="123D4FD6"/>
    <w:rsid w:val="12612D30"/>
    <w:rsid w:val="12631FD6"/>
    <w:rsid w:val="126726A7"/>
    <w:rsid w:val="12704669"/>
    <w:rsid w:val="12754CD8"/>
    <w:rsid w:val="128E3D56"/>
    <w:rsid w:val="129B2349"/>
    <w:rsid w:val="12D07A66"/>
    <w:rsid w:val="12DA5ECB"/>
    <w:rsid w:val="12E765A6"/>
    <w:rsid w:val="12EF1A32"/>
    <w:rsid w:val="131C72FD"/>
    <w:rsid w:val="13241C23"/>
    <w:rsid w:val="132804C1"/>
    <w:rsid w:val="133642E8"/>
    <w:rsid w:val="13386C19"/>
    <w:rsid w:val="136C751C"/>
    <w:rsid w:val="137E6DCF"/>
    <w:rsid w:val="1380735E"/>
    <w:rsid w:val="13B56A8D"/>
    <w:rsid w:val="13CA2DE7"/>
    <w:rsid w:val="13F16A06"/>
    <w:rsid w:val="142E5905"/>
    <w:rsid w:val="14310994"/>
    <w:rsid w:val="1493476C"/>
    <w:rsid w:val="14B07B58"/>
    <w:rsid w:val="14FF16E8"/>
    <w:rsid w:val="150A641D"/>
    <w:rsid w:val="15261B20"/>
    <w:rsid w:val="152A2A43"/>
    <w:rsid w:val="154E5F14"/>
    <w:rsid w:val="154F0577"/>
    <w:rsid w:val="156005A1"/>
    <w:rsid w:val="15641BA3"/>
    <w:rsid w:val="157437EC"/>
    <w:rsid w:val="15750A05"/>
    <w:rsid w:val="15E37B48"/>
    <w:rsid w:val="1602231F"/>
    <w:rsid w:val="161B6E38"/>
    <w:rsid w:val="16385C35"/>
    <w:rsid w:val="1652663E"/>
    <w:rsid w:val="167F0991"/>
    <w:rsid w:val="16985176"/>
    <w:rsid w:val="16985F3D"/>
    <w:rsid w:val="169F1079"/>
    <w:rsid w:val="16AF5C8C"/>
    <w:rsid w:val="16BA502D"/>
    <w:rsid w:val="16C037D5"/>
    <w:rsid w:val="16C04307"/>
    <w:rsid w:val="16E972C3"/>
    <w:rsid w:val="16ED4CBA"/>
    <w:rsid w:val="16F15A16"/>
    <w:rsid w:val="16FE33F2"/>
    <w:rsid w:val="1726317C"/>
    <w:rsid w:val="174A400D"/>
    <w:rsid w:val="17505FED"/>
    <w:rsid w:val="17693B23"/>
    <w:rsid w:val="17910309"/>
    <w:rsid w:val="17A03E09"/>
    <w:rsid w:val="17BB1AAB"/>
    <w:rsid w:val="17D10ECE"/>
    <w:rsid w:val="17E256C1"/>
    <w:rsid w:val="17EC68E7"/>
    <w:rsid w:val="18436A3A"/>
    <w:rsid w:val="184F4660"/>
    <w:rsid w:val="187B2181"/>
    <w:rsid w:val="189D3061"/>
    <w:rsid w:val="18B60523"/>
    <w:rsid w:val="18F77DA8"/>
    <w:rsid w:val="19230D19"/>
    <w:rsid w:val="1943652D"/>
    <w:rsid w:val="19597042"/>
    <w:rsid w:val="19B93304"/>
    <w:rsid w:val="19CB3034"/>
    <w:rsid w:val="19E9664E"/>
    <w:rsid w:val="19F437C5"/>
    <w:rsid w:val="1A135A58"/>
    <w:rsid w:val="1A144752"/>
    <w:rsid w:val="1A1916F8"/>
    <w:rsid w:val="1A6A1166"/>
    <w:rsid w:val="1A724E6B"/>
    <w:rsid w:val="1A83727F"/>
    <w:rsid w:val="1AA475A6"/>
    <w:rsid w:val="1B1400DE"/>
    <w:rsid w:val="1B344A75"/>
    <w:rsid w:val="1B5001D6"/>
    <w:rsid w:val="1B7B229E"/>
    <w:rsid w:val="1B9B66CD"/>
    <w:rsid w:val="1BCD4A61"/>
    <w:rsid w:val="1BE86AA6"/>
    <w:rsid w:val="1BF34341"/>
    <w:rsid w:val="1C1F31D3"/>
    <w:rsid w:val="1C28741E"/>
    <w:rsid w:val="1C3A335A"/>
    <w:rsid w:val="1C4B1A36"/>
    <w:rsid w:val="1C6D4EA5"/>
    <w:rsid w:val="1C8B27CB"/>
    <w:rsid w:val="1C9217E3"/>
    <w:rsid w:val="1C994840"/>
    <w:rsid w:val="1CA4413F"/>
    <w:rsid w:val="1CCF62A5"/>
    <w:rsid w:val="1D162875"/>
    <w:rsid w:val="1D4614E6"/>
    <w:rsid w:val="1D667B07"/>
    <w:rsid w:val="1D760260"/>
    <w:rsid w:val="1D8C4359"/>
    <w:rsid w:val="1DA53B62"/>
    <w:rsid w:val="1E0237E0"/>
    <w:rsid w:val="1E1710A8"/>
    <w:rsid w:val="1E2353A9"/>
    <w:rsid w:val="1E3161A6"/>
    <w:rsid w:val="1E3D54CD"/>
    <w:rsid w:val="1E407769"/>
    <w:rsid w:val="1E4C698C"/>
    <w:rsid w:val="1E60296E"/>
    <w:rsid w:val="1E6623BB"/>
    <w:rsid w:val="1E9A0651"/>
    <w:rsid w:val="1E9D3EBC"/>
    <w:rsid w:val="1EBB311A"/>
    <w:rsid w:val="1EBC0D3D"/>
    <w:rsid w:val="1ED25E77"/>
    <w:rsid w:val="1EDF5D2C"/>
    <w:rsid w:val="1EE937D9"/>
    <w:rsid w:val="1F226E7B"/>
    <w:rsid w:val="1F8A66E0"/>
    <w:rsid w:val="1F9029A2"/>
    <w:rsid w:val="1FA043D0"/>
    <w:rsid w:val="1FBE63D5"/>
    <w:rsid w:val="1FCA6753"/>
    <w:rsid w:val="1FCA7CEA"/>
    <w:rsid w:val="1FDB74D2"/>
    <w:rsid w:val="20646695"/>
    <w:rsid w:val="20CC5161"/>
    <w:rsid w:val="20DD65FE"/>
    <w:rsid w:val="20E84FAA"/>
    <w:rsid w:val="20FF4581"/>
    <w:rsid w:val="210E6523"/>
    <w:rsid w:val="21747CD2"/>
    <w:rsid w:val="217E5989"/>
    <w:rsid w:val="219A5699"/>
    <w:rsid w:val="21A454A6"/>
    <w:rsid w:val="21C0070E"/>
    <w:rsid w:val="21D72B40"/>
    <w:rsid w:val="21FA7D8D"/>
    <w:rsid w:val="22020F75"/>
    <w:rsid w:val="22217FB4"/>
    <w:rsid w:val="222F1EB1"/>
    <w:rsid w:val="2274785E"/>
    <w:rsid w:val="22CE7D7E"/>
    <w:rsid w:val="22D71DD3"/>
    <w:rsid w:val="22D84A87"/>
    <w:rsid w:val="22FE5379"/>
    <w:rsid w:val="23365616"/>
    <w:rsid w:val="233C19B4"/>
    <w:rsid w:val="23596C10"/>
    <w:rsid w:val="23C640E9"/>
    <w:rsid w:val="23E77FD8"/>
    <w:rsid w:val="23EF7674"/>
    <w:rsid w:val="23F61D9E"/>
    <w:rsid w:val="2426401A"/>
    <w:rsid w:val="245F1B71"/>
    <w:rsid w:val="24663DB6"/>
    <w:rsid w:val="2482466F"/>
    <w:rsid w:val="248B1094"/>
    <w:rsid w:val="24A9789C"/>
    <w:rsid w:val="24B228BF"/>
    <w:rsid w:val="24B34F54"/>
    <w:rsid w:val="24C34D99"/>
    <w:rsid w:val="24F144EA"/>
    <w:rsid w:val="24FE1C29"/>
    <w:rsid w:val="250D38F3"/>
    <w:rsid w:val="252C17F9"/>
    <w:rsid w:val="252E4A3F"/>
    <w:rsid w:val="25387210"/>
    <w:rsid w:val="25387CE7"/>
    <w:rsid w:val="254B63C8"/>
    <w:rsid w:val="255B4012"/>
    <w:rsid w:val="25B73EC5"/>
    <w:rsid w:val="260E7A8F"/>
    <w:rsid w:val="262230A8"/>
    <w:rsid w:val="265726E0"/>
    <w:rsid w:val="266B787C"/>
    <w:rsid w:val="26CE1F64"/>
    <w:rsid w:val="271E23A5"/>
    <w:rsid w:val="272347C9"/>
    <w:rsid w:val="274534B4"/>
    <w:rsid w:val="2769551C"/>
    <w:rsid w:val="27817389"/>
    <w:rsid w:val="2790513A"/>
    <w:rsid w:val="27B36D3D"/>
    <w:rsid w:val="27BD5C0E"/>
    <w:rsid w:val="27D10759"/>
    <w:rsid w:val="27F47D6A"/>
    <w:rsid w:val="28097794"/>
    <w:rsid w:val="28920A3E"/>
    <w:rsid w:val="28A377F6"/>
    <w:rsid w:val="28AC656D"/>
    <w:rsid w:val="28B85CFC"/>
    <w:rsid w:val="28CA4870"/>
    <w:rsid w:val="28D27F22"/>
    <w:rsid w:val="29192782"/>
    <w:rsid w:val="29355575"/>
    <w:rsid w:val="297A6669"/>
    <w:rsid w:val="29C263C1"/>
    <w:rsid w:val="29CB7C7E"/>
    <w:rsid w:val="29D7375D"/>
    <w:rsid w:val="29E829B5"/>
    <w:rsid w:val="2A033C66"/>
    <w:rsid w:val="2A047EF2"/>
    <w:rsid w:val="2A1F5F97"/>
    <w:rsid w:val="2A575325"/>
    <w:rsid w:val="2A9D7742"/>
    <w:rsid w:val="2AA07010"/>
    <w:rsid w:val="2ABC0A5E"/>
    <w:rsid w:val="2AD30362"/>
    <w:rsid w:val="2AE02200"/>
    <w:rsid w:val="2AE6545C"/>
    <w:rsid w:val="2B1A1C43"/>
    <w:rsid w:val="2B3673E8"/>
    <w:rsid w:val="2B3E30FF"/>
    <w:rsid w:val="2B40623A"/>
    <w:rsid w:val="2B581B41"/>
    <w:rsid w:val="2B8B743B"/>
    <w:rsid w:val="2B974EA0"/>
    <w:rsid w:val="2B9F7A97"/>
    <w:rsid w:val="2BA80578"/>
    <w:rsid w:val="2BC94523"/>
    <w:rsid w:val="2BD054B5"/>
    <w:rsid w:val="2C1A46FC"/>
    <w:rsid w:val="2C950E7E"/>
    <w:rsid w:val="2CA756AF"/>
    <w:rsid w:val="2CD728E8"/>
    <w:rsid w:val="2CEF220E"/>
    <w:rsid w:val="2D08054C"/>
    <w:rsid w:val="2D101DBB"/>
    <w:rsid w:val="2D114E6F"/>
    <w:rsid w:val="2D356226"/>
    <w:rsid w:val="2D707325"/>
    <w:rsid w:val="2D730153"/>
    <w:rsid w:val="2D840C73"/>
    <w:rsid w:val="2D8868B3"/>
    <w:rsid w:val="2DA00746"/>
    <w:rsid w:val="2DD13DB6"/>
    <w:rsid w:val="2E2F2948"/>
    <w:rsid w:val="2E4B3B69"/>
    <w:rsid w:val="2E7727A1"/>
    <w:rsid w:val="2E861045"/>
    <w:rsid w:val="2E9471A9"/>
    <w:rsid w:val="2E9757EF"/>
    <w:rsid w:val="2EB27787"/>
    <w:rsid w:val="2ED7635D"/>
    <w:rsid w:val="2EEA463E"/>
    <w:rsid w:val="2F087A0D"/>
    <w:rsid w:val="2F2F5681"/>
    <w:rsid w:val="2F4D56BE"/>
    <w:rsid w:val="2F7056E3"/>
    <w:rsid w:val="2FDB16DE"/>
    <w:rsid w:val="2FED00F9"/>
    <w:rsid w:val="300403F6"/>
    <w:rsid w:val="302C08E1"/>
    <w:rsid w:val="302E7E66"/>
    <w:rsid w:val="30573F1F"/>
    <w:rsid w:val="305F6960"/>
    <w:rsid w:val="308E78B1"/>
    <w:rsid w:val="30B05F05"/>
    <w:rsid w:val="30BE3818"/>
    <w:rsid w:val="30E14A8B"/>
    <w:rsid w:val="30F524B2"/>
    <w:rsid w:val="31297134"/>
    <w:rsid w:val="313356F9"/>
    <w:rsid w:val="317F58E8"/>
    <w:rsid w:val="31A91A22"/>
    <w:rsid w:val="31DC59B2"/>
    <w:rsid w:val="320C414E"/>
    <w:rsid w:val="320D09D0"/>
    <w:rsid w:val="32225ABD"/>
    <w:rsid w:val="323745C1"/>
    <w:rsid w:val="3261063E"/>
    <w:rsid w:val="3265799F"/>
    <w:rsid w:val="328A5202"/>
    <w:rsid w:val="32956703"/>
    <w:rsid w:val="32AE0B6A"/>
    <w:rsid w:val="32B74AD4"/>
    <w:rsid w:val="32F309F4"/>
    <w:rsid w:val="33022D1D"/>
    <w:rsid w:val="33260618"/>
    <w:rsid w:val="332E05EC"/>
    <w:rsid w:val="334E1F5E"/>
    <w:rsid w:val="335025CC"/>
    <w:rsid w:val="33541711"/>
    <w:rsid w:val="336631F3"/>
    <w:rsid w:val="337C4AB6"/>
    <w:rsid w:val="33E36A20"/>
    <w:rsid w:val="34350646"/>
    <w:rsid w:val="347C0E98"/>
    <w:rsid w:val="34965405"/>
    <w:rsid w:val="34B31E42"/>
    <w:rsid w:val="34D13403"/>
    <w:rsid w:val="34E318C0"/>
    <w:rsid w:val="34FF3C8D"/>
    <w:rsid w:val="35326489"/>
    <w:rsid w:val="353850FE"/>
    <w:rsid w:val="353F3401"/>
    <w:rsid w:val="35474298"/>
    <w:rsid w:val="3552098C"/>
    <w:rsid w:val="35621829"/>
    <w:rsid w:val="35760FBE"/>
    <w:rsid w:val="35AA6231"/>
    <w:rsid w:val="35C7538E"/>
    <w:rsid w:val="36050807"/>
    <w:rsid w:val="361809AA"/>
    <w:rsid w:val="3625621C"/>
    <w:rsid w:val="36B3453F"/>
    <w:rsid w:val="36B80D58"/>
    <w:rsid w:val="36BC7BF0"/>
    <w:rsid w:val="36BF03F6"/>
    <w:rsid w:val="37073DD4"/>
    <w:rsid w:val="375F2433"/>
    <w:rsid w:val="3785368E"/>
    <w:rsid w:val="3792131C"/>
    <w:rsid w:val="37B41185"/>
    <w:rsid w:val="37BA1D5F"/>
    <w:rsid w:val="37C725AF"/>
    <w:rsid w:val="37C77DD2"/>
    <w:rsid w:val="37DD64B7"/>
    <w:rsid w:val="380D6819"/>
    <w:rsid w:val="383C4E29"/>
    <w:rsid w:val="3844523F"/>
    <w:rsid w:val="38494CA3"/>
    <w:rsid w:val="3851621F"/>
    <w:rsid w:val="386A108F"/>
    <w:rsid w:val="38A2679B"/>
    <w:rsid w:val="38AA15F9"/>
    <w:rsid w:val="38BF2886"/>
    <w:rsid w:val="395947FC"/>
    <w:rsid w:val="395D29A2"/>
    <w:rsid w:val="397C3770"/>
    <w:rsid w:val="39803390"/>
    <w:rsid w:val="39A25E64"/>
    <w:rsid w:val="39A75AA8"/>
    <w:rsid w:val="39AD2AC6"/>
    <w:rsid w:val="39F87041"/>
    <w:rsid w:val="3A2A5654"/>
    <w:rsid w:val="3A3943A3"/>
    <w:rsid w:val="3A8646A3"/>
    <w:rsid w:val="3AD4196D"/>
    <w:rsid w:val="3AF57379"/>
    <w:rsid w:val="3B4E14F1"/>
    <w:rsid w:val="3B5104B4"/>
    <w:rsid w:val="3B751A82"/>
    <w:rsid w:val="3BAE7642"/>
    <w:rsid w:val="3BB74194"/>
    <w:rsid w:val="3BC248F6"/>
    <w:rsid w:val="3BD25848"/>
    <w:rsid w:val="3BF74C54"/>
    <w:rsid w:val="3BFD3F4B"/>
    <w:rsid w:val="3C4B1FA8"/>
    <w:rsid w:val="3C570598"/>
    <w:rsid w:val="3C665CDF"/>
    <w:rsid w:val="3C7B5999"/>
    <w:rsid w:val="3D1D7BF7"/>
    <w:rsid w:val="3D504ED6"/>
    <w:rsid w:val="3D734E8A"/>
    <w:rsid w:val="3D944C37"/>
    <w:rsid w:val="3DA037A5"/>
    <w:rsid w:val="3DB36777"/>
    <w:rsid w:val="3DC511E4"/>
    <w:rsid w:val="3E1372AE"/>
    <w:rsid w:val="3E1C493E"/>
    <w:rsid w:val="3E28214E"/>
    <w:rsid w:val="3E3779FB"/>
    <w:rsid w:val="3E6A5515"/>
    <w:rsid w:val="3E855CB0"/>
    <w:rsid w:val="3E872CF8"/>
    <w:rsid w:val="3EBD5639"/>
    <w:rsid w:val="3EC51715"/>
    <w:rsid w:val="3EE65ED1"/>
    <w:rsid w:val="3EE97E24"/>
    <w:rsid w:val="3F326A4B"/>
    <w:rsid w:val="3F5C5606"/>
    <w:rsid w:val="3F79605C"/>
    <w:rsid w:val="3F8213B4"/>
    <w:rsid w:val="3FAC4200"/>
    <w:rsid w:val="3FAE55EA"/>
    <w:rsid w:val="3FB4123F"/>
    <w:rsid w:val="3FBC67C5"/>
    <w:rsid w:val="40225059"/>
    <w:rsid w:val="40320042"/>
    <w:rsid w:val="403B2E4A"/>
    <w:rsid w:val="40495553"/>
    <w:rsid w:val="406A26B3"/>
    <w:rsid w:val="406B25AF"/>
    <w:rsid w:val="406B55FD"/>
    <w:rsid w:val="40757C3F"/>
    <w:rsid w:val="408A3023"/>
    <w:rsid w:val="409E5634"/>
    <w:rsid w:val="40D33C74"/>
    <w:rsid w:val="40D5070B"/>
    <w:rsid w:val="40D93256"/>
    <w:rsid w:val="41171FD0"/>
    <w:rsid w:val="41304E66"/>
    <w:rsid w:val="413F1DEE"/>
    <w:rsid w:val="41842D10"/>
    <w:rsid w:val="41AA4BF2"/>
    <w:rsid w:val="41AA6714"/>
    <w:rsid w:val="41B202E3"/>
    <w:rsid w:val="41C84F90"/>
    <w:rsid w:val="421A2137"/>
    <w:rsid w:val="421A58E8"/>
    <w:rsid w:val="423226EB"/>
    <w:rsid w:val="42431DCD"/>
    <w:rsid w:val="425D3A13"/>
    <w:rsid w:val="425F31D5"/>
    <w:rsid w:val="427B4B5C"/>
    <w:rsid w:val="42A57CCC"/>
    <w:rsid w:val="42A8401C"/>
    <w:rsid w:val="42AB1083"/>
    <w:rsid w:val="42BC5857"/>
    <w:rsid w:val="42C23E90"/>
    <w:rsid w:val="42DF6B1E"/>
    <w:rsid w:val="42E84739"/>
    <w:rsid w:val="43182CC8"/>
    <w:rsid w:val="433D5FD9"/>
    <w:rsid w:val="4344183F"/>
    <w:rsid w:val="4365492D"/>
    <w:rsid w:val="436C03B1"/>
    <w:rsid w:val="43B400B8"/>
    <w:rsid w:val="43BC455A"/>
    <w:rsid w:val="43E31A09"/>
    <w:rsid w:val="44044B53"/>
    <w:rsid w:val="440614FF"/>
    <w:rsid w:val="442217E2"/>
    <w:rsid w:val="442A5AAC"/>
    <w:rsid w:val="44444E8A"/>
    <w:rsid w:val="4477536B"/>
    <w:rsid w:val="44C03C8E"/>
    <w:rsid w:val="44C562D7"/>
    <w:rsid w:val="44E555F4"/>
    <w:rsid w:val="44FF10BF"/>
    <w:rsid w:val="452D0284"/>
    <w:rsid w:val="45761D23"/>
    <w:rsid w:val="45A71293"/>
    <w:rsid w:val="45BA03D2"/>
    <w:rsid w:val="45BA7C22"/>
    <w:rsid w:val="45C67B21"/>
    <w:rsid w:val="45DC5956"/>
    <w:rsid w:val="45E2663B"/>
    <w:rsid w:val="46036683"/>
    <w:rsid w:val="46552EF4"/>
    <w:rsid w:val="46722E9B"/>
    <w:rsid w:val="467762C2"/>
    <w:rsid w:val="46B72B91"/>
    <w:rsid w:val="46F90CDD"/>
    <w:rsid w:val="47170FA7"/>
    <w:rsid w:val="478626E6"/>
    <w:rsid w:val="479047C6"/>
    <w:rsid w:val="47B67E04"/>
    <w:rsid w:val="47CB185B"/>
    <w:rsid w:val="47D95F95"/>
    <w:rsid w:val="481A4766"/>
    <w:rsid w:val="4823373C"/>
    <w:rsid w:val="482D2190"/>
    <w:rsid w:val="484216E1"/>
    <w:rsid w:val="48534CDB"/>
    <w:rsid w:val="485B5FC7"/>
    <w:rsid w:val="48867974"/>
    <w:rsid w:val="48981FCE"/>
    <w:rsid w:val="48A471B7"/>
    <w:rsid w:val="48FA3D14"/>
    <w:rsid w:val="490B6AB2"/>
    <w:rsid w:val="49105D1A"/>
    <w:rsid w:val="4918508E"/>
    <w:rsid w:val="491D1036"/>
    <w:rsid w:val="491F3309"/>
    <w:rsid w:val="4927042C"/>
    <w:rsid w:val="49292F7B"/>
    <w:rsid w:val="492959A5"/>
    <w:rsid w:val="49584F34"/>
    <w:rsid w:val="49633C5C"/>
    <w:rsid w:val="49693BC2"/>
    <w:rsid w:val="49833ADC"/>
    <w:rsid w:val="49A573BE"/>
    <w:rsid w:val="49AB270A"/>
    <w:rsid w:val="49C804A5"/>
    <w:rsid w:val="4A1932A7"/>
    <w:rsid w:val="4A413C1F"/>
    <w:rsid w:val="4A713F14"/>
    <w:rsid w:val="4A8F5F01"/>
    <w:rsid w:val="4A9F5464"/>
    <w:rsid w:val="4AB03279"/>
    <w:rsid w:val="4ABB1C1E"/>
    <w:rsid w:val="4AD5237D"/>
    <w:rsid w:val="4B3B34BA"/>
    <w:rsid w:val="4B72422E"/>
    <w:rsid w:val="4BB315C6"/>
    <w:rsid w:val="4BD96800"/>
    <w:rsid w:val="4C3744AB"/>
    <w:rsid w:val="4C431B3C"/>
    <w:rsid w:val="4C4F6AC2"/>
    <w:rsid w:val="4C676BBD"/>
    <w:rsid w:val="4C68542C"/>
    <w:rsid w:val="4C8715A8"/>
    <w:rsid w:val="4CAB024B"/>
    <w:rsid w:val="4CAC5CC3"/>
    <w:rsid w:val="4D1418D7"/>
    <w:rsid w:val="4D174B24"/>
    <w:rsid w:val="4D1E457F"/>
    <w:rsid w:val="4D4D3668"/>
    <w:rsid w:val="4D7A397F"/>
    <w:rsid w:val="4D9E18E6"/>
    <w:rsid w:val="4DAB3F2C"/>
    <w:rsid w:val="4DB2726B"/>
    <w:rsid w:val="4DBF1A26"/>
    <w:rsid w:val="4DC63B7E"/>
    <w:rsid w:val="4DD0778F"/>
    <w:rsid w:val="4DE86225"/>
    <w:rsid w:val="4DEE4640"/>
    <w:rsid w:val="4E023BB8"/>
    <w:rsid w:val="4E0F02B7"/>
    <w:rsid w:val="4E227127"/>
    <w:rsid w:val="4E2465CA"/>
    <w:rsid w:val="4E3213EF"/>
    <w:rsid w:val="4E473EF5"/>
    <w:rsid w:val="4E6E4072"/>
    <w:rsid w:val="4E6F5883"/>
    <w:rsid w:val="4ECE0172"/>
    <w:rsid w:val="4ED14079"/>
    <w:rsid w:val="4EF7020E"/>
    <w:rsid w:val="4EFE032C"/>
    <w:rsid w:val="4F3F4BCC"/>
    <w:rsid w:val="4F553D20"/>
    <w:rsid w:val="4F8F4971"/>
    <w:rsid w:val="4F907B20"/>
    <w:rsid w:val="4FB44097"/>
    <w:rsid w:val="502D6C0E"/>
    <w:rsid w:val="507E12DA"/>
    <w:rsid w:val="508B28AE"/>
    <w:rsid w:val="50B412E5"/>
    <w:rsid w:val="50C64E79"/>
    <w:rsid w:val="50CC082A"/>
    <w:rsid w:val="50DA2D50"/>
    <w:rsid w:val="50DC16CA"/>
    <w:rsid w:val="50F57819"/>
    <w:rsid w:val="50FE3106"/>
    <w:rsid w:val="51071719"/>
    <w:rsid w:val="51340D76"/>
    <w:rsid w:val="51477B57"/>
    <w:rsid w:val="51725AE4"/>
    <w:rsid w:val="517F6ECF"/>
    <w:rsid w:val="51894C91"/>
    <w:rsid w:val="51AC22C1"/>
    <w:rsid w:val="51BD19BE"/>
    <w:rsid w:val="5215527C"/>
    <w:rsid w:val="527C6367"/>
    <w:rsid w:val="529E7E5B"/>
    <w:rsid w:val="52E15F9A"/>
    <w:rsid w:val="52EF1644"/>
    <w:rsid w:val="52FC4B64"/>
    <w:rsid w:val="5329025B"/>
    <w:rsid w:val="533E62DD"/>
    <w:rsid w:val="53667DC0"/>
    <w:rsid w:val="536C0E93"/>
    <w:rsid w:val="53875A82"/>
    <w:rsid w:val="538C3B85"/>
    <w:rsid w:val="539449DD"/>
    <w:rsid w:val="53F10300"/>
    <w:rsid w:val="53FC2BBB"/>
    <w:rsid w:val="540576A7"/>
    <w:rsid w:val="54117F14"/>
    <w:rsid w:val="5423734A"/>
    <w:rsid w:val="54297B2C"/>
    <w:rsid w:val="54310657"/>
    <w:rsid w:val="54336CC9"/>
    <w:rsid w:val="54417AB2"/>
    <w:rsid w:val="54423816"/>
    <w:rsid w:val="54C564D4"/>
    <w:rsid w:val="54F4514C"/>
    <w:rsid w:val="550D183C"/>
    <w:rsid w:val="552A59D6"/>
    <w:rsid w:val="555313D1"/>
    <w:rsid w:val="55AE0168"/>
    <w:rsid w:val="55AF744C"/>
    <w:rsid w:val="55EA58CD"/>
    <w:rsid w:val="55F965E9"/>
    <w:rsid w:val="56016E34"/>
    <w:rsid w:val="562175E1"/>
    <w:rsid w:val="56655259"/>
    <w:rsid w:val="569929FD"/>
    <w:rsid w:val="56B123C7"/>
    <w:rsid w:val="56BD5CF0"/>
    <w:rsid w:val="56DB6289"/>
    <w:rsid w:val="56E90583"/>
    <w:rsid w:val="57055E9A"/>
    <w:rsid w:val="571A5E5F"/>
    <w:rsid w:val="5731277D"/>
    <w:rsid w:val="57353932"/>
    <w:rsid w:val="5739135E"/>
    <w:rsid w:val="5755170C"/>
    <w:rsid w:val="57E852D8"/>
    <w:rsid w:val="57EF780D"/>
    <w:rsid w:val="580A0D62"/>
    <w:rsid w:val="580C319D"/>
    <w:rsid w:val="58630911"/>
    <w:rsid w:val="58B40952"/>
    <w:rsid w:val="58DC4887"/>
    <w:rsid w:val="58F4643F"/>
    <w:rsid w:val="591937E5"/>
    <w:rsid w:val="592E180D"/>
    <w:rsid w:val="59524405"/>
    <w:rsid w:val="59C4659D"/>
    <w:rsid w:val="5A075EAB"/>
    <w:rsid w:val="5A273174"/>
    <w:rsid w:val="5A3E26C6"/>
    <w:rsid w:val="5A4930C1"/>
    <w:rsid w:val="5A711C47"/>
    <w:rsid w:val="5AA12504"/>
    <w:rsid w:val="5AB14100"/>
    <w:rsid w:val="5AD17029"/>
    <w:rsid w:val="5AD24620"/>
    <w:rsid w:val="5AF73D89"/>
    <w:rsid w:val="5AFA711E"/>
    <w:rsid w:val="5B4B3589"/>
    <w:rsid w:val="5B7A1664"/>
    <w:rsid w:val="5B7D7E12"/>
    <w:rsid w:val="5B7E360B"/>
    <w:rsid w:val="5B890930"/>
    <w:rsid w:val="5BAF43D6"/>
    <w:rsid w:val="5BCE2D64"/>
    <w:rsid w:val="5C213749"/>
    <w:rsid w:val="5C5E1709"/>
    <w:rsid w:val="5C8F2A35"/>
    <w:rsid w:val="5CAE15E3"/>
    <w:rsid w:val="5CCB5CF1"/>
    <w:rsid w:val="5CCF10EF"/>
    <w:rsid w:val="5CD86660"/>
    <w:rsid w:val="5CE82AF2"/>
    <w:rsid w:val="5CF4174C"/>
    <w:rsid w:val="5D3A3470"/>
    <w:rsid w:val="5D414FC0"/>
    <w:rsid w:val="5D45254F"/>
    <w:rsid w:val="5D521499"/>
    <w:rsid w:val="5D897D4E"/>
    <w:rsid w:val="5D945633"/>
    <w:rsid w:val="5DC978BB"/>
    <w:rsid w:val="5DD735C7"/>
    <w:rsid w:val="5DFA32E2"/>
    <w:rsid w:val="5E0C14B0"/>
    <w:rsid w:val="5E120C3C"/>
    <w:rsid w:val="5E451BA8"/>
    <w:rsid w:val="5E5A3B2F"/>
    <w:rsid w:val="5E7D79D2"/>
    <w:rsid w:val="5F03377A"/>
    <w:rsid w:val="5F1A2D07"/>
    <w:rsid w:val="5F1D448A"/>
    <w:rsid w:val="5F3B6F28"/>
    <w:rsid w:val="5F42550C"/>
    <w:rsid w:val="5F4501A0"/>
    <w:rsid w:val="5F4B54A7"/>
    <w:rsid w:val="5F5E276A"/>
    <w:rsid w:val="5F7E34EF"/>
    <w:rsid w:val="5F827EA4"/>
    <w:rsid w:val="5F8776EE"/>
    <w:rsid w:val="5FBF7663"/>
    <w:rsid w:val="5FCA7645"/>
    <w:rsid w:val="5FDA2792"/>
    <w:rsid w:val="5FFB0685"/>
    <w:rsid w:val="6031783E"/>
    <w:rsid w:val="60391801"/>
    <w:rsid w:val="60593779"/>
    <w:rsid w:val="60632784"/>
    <w:rsid w:val="60661F95"/>
    <w:rsid w:val="607600E6"/>
    <w:rsid w:val="60C746D3"/>
    <w:rsid w:val="60E66CB7"/>
    <w:rsid w:val="60F42C01"/>
    <w:rsid w:val="61442146"/>
    <w:rsid w:val="615B0390"/>
    <w:rsid w:val="6165643A"/>
    <w:rsid w:val="61776447"/>
    <w:rsid w:val="617F2D1C"/>
    <w:rsid w:val="619D1FDD"/>
    <w:rsid w:val="61A06B4B"/>
    <w:rsid w:val="61AD3C17"/>
    <w:rsid w:val="61B71418"/>
    <w:rsid w:val="61D62E16"/>
    <w:rsid w:val="61FC7505"/>
    <w:rsid w:val="625D5B8A"/>
    <w:rsid w:val="6283671E"/>
    <w:rsid w:val="62907474"/>
    <w:rsid w:val="62BA49A4"/>
    <w:rsid w:val="62E607D4"/>
    <w:rsid w:val="62F67840"/>
    <w:rsid w:val="63364B66"/>
    <w:rsid w:val="63434487"/>
    <w:rsid w:val="63440B80"/>
    <w:rsid w:val="63500CFE"/>
    <w:rsid w:val="635E7280"/>
    <w:rsid w:val="63680704"/>
    <w:rsid w:val="63964BC7"/>
    <w:rsid w:val="63A83263"/>
    <w:rsid w:val="63AB1AB4"/>
    <w:rsid w:val="63AF718C"/>
    <w:rsid w:val="63D25BB7"/>
    <w:rsid w:val="64023FE4"/>
    <w:rsid w:val="644924C9"/>
    <w:rsid w:val="6455433B"/>
    <w:rsid w:val="645E64BF"/>
    <w:rsid w:val="64B25126"/>
    <w:rsid w:val="64BF55C6"/>
    <w:rsid w:val="64D55DEF"/>
    <w:rsid w:val="650071C6"/>
    <w:rsid w:val="650859CD"/>
    <w:rsid w:val="651541A3"/>
    <w:rsid w:val="652D7C47"/>
    <w:rsid w:val="654E4231"/>
    <w:rsid w:val="655942C8"/>
    <w:rsid w:val="659426D6"/>
    <w:rsid w:val="65F62F4E"/>
    <w:rsid w:val="661C7183"/>
    <w:rsid w:val="663568D1"/>
    <w:rsid w:val="663A207A"/>
    <w:rsid w:val="664166AE"/>
    <w:rsid w:val="66806790"/>
    <w:rsid w:val="66A565A6"/>
    <w:rsid w:val="66B93455"/>
    <w:rsid w:val="66E5313C"/>
    <w:rsid w:val="66F2031E"/>
    <w:rsid w:val="67762CFD"/>
    <w:rsid w:val="678B7D67"/>
    <w:rsid w:val="678E44EB"/>
    <w:rsid w:val="67B07C16"/>
    <w:rsid w:val="67BD179F"/>
    <w:rsid w:val="67D84A28"/>
    <w:rsid w:val="67E73BFB"/>
    <w:rsid w:val="68601B85"/>
    <w:rsid w:val="6866632D"/>
    <w:rsid w:val="686F724D"/>
    <w:rsid w:val="687002EA"/>
    <w:rsid w:val="6885475E"/>
    <w:rsid w:val="689171CA"/>
    <w:rsid w:val="68BE3D2B"/>
    <w:rsid w:val="68BE495C"/>
    <w:rsid w:val="68DB0A95"/>
    <w:rsid w:val="68E23629"/>
    <w:rsid w:val="68F759AB"/>
    <w:rsid w:val="690C056D"/>
    <w:rsid w:val="692E1E8A"/>
    <w:rsid w:val="693D1183"/>
    <w:rsid w:val="69763488"/>
    <w:rsid w:val="69813F85"/>
    <w:rsid w:val="69A67647"/>
    <w:rsid w:val="69A708EE"/>
    <w:rsid w:val="69AC675A"/>
    <w:rsid w:val="69BE148A"/>
    <w:rsid w:val="69F95B80"/>
    <w:rsid w:val="6A196ADF"/>
    <w:rsid w:val="6A5559D4"/>
    <w:rsid w:val="6A7F3347"/>
    <w:rsid w:val="6A873262"/>
    <w:rsid w:val="6AB1269F"/>
    <w:rsid w:val="6AC660C2"/>
    <w:rsid w:val="6B002ECF"/>
    <w:rsid w:val="6B165150"/>
    <w:rsid w:val="6B2372AF"/>
    <w:rsid w:val="6B373EF4"/>
    <w:rsid w:val="6B6F0FB1"/>
    <w:rsid w:val="6B785296"/>
    <w:rsid w:val="6B790400"/>
    <w:rsid w:val="6B7C465A"/>
    <w:rsid w:val="6B8137A3"/>
    <w:rsid w:val="6B8702C1"/>
    <w:rsid w:val="6B9D4CFC"/>
    <w:rsid w:val="6BA76C1F"/>
    <w:rsid w:val="6C1D00F2"/>
    <w:rsid w:val="6C2E004A"/>
    <w:rsid w:val="6C44161C"/>
    <w:rsid w:val="6C5A3079"/>
    <w:rsid w:val="6C7A3290"/>
    <w:rsid w:val="6CA16A6E"/>
    <w:rsid w:val="6CC30793"/>
    <w:rsid w:val="6CEB0CB7"/>
    <w:rsid w:val="6D1D6E9E"/>
    <w:rsid w:val="6D2375BA"/>
    <w:rsid w:val="6D273CFB"/>
    <w:rsid w:val="6D3F6EA2"/>
    <w:rsid w:val="6D456D87"/>
    <w:rsid w:val="6D6C1380"/>
    <w:rsid w:val="6DAF270A"/>
    <w:rsid w:val="6DC95B38"/>
    <w:rsid w:val="6DCC0B2E"/>
    <w:rsid w:val="6DCC7826"/>
    <w:rsid w:val="6DD14ABF"/>
    <w:rsid w:val="6DD644F6"/>
    <w:rsid w:val="6DF73457"/>
    <w:rsid w:val="6E096679"/>
    <w:rsid w:val="6E243E63"/>
    <w:rsid w:val="6E3C68FF"/>
    <w:rsid w:val="6E5F60A4"/>
    <w:rsid w:val="6E825188"/>
    <w:rsid w:val="6E91666F"/>
    <w:rsid w:val="6EA463A2"/>
    <w:rsid w:val="6EBB04A5"/>
    <w:rsid w:val="6EE14443"/>
    <w:rsid w:val="6EFD5E46"/>
    <w:rsid w:val="6F1C34F3"/>
    <w:rsid w:val="6F4B7C47"/>
    <w:rsid w:val="6F92350C"/>
    <w:rsid w:val="6F9304CC"/>
    <w:rsid w:val="6F9B59F7"/>
    <w:rsid w:val="6FA973ED"/>
    <w:rsid w:val="6FB76AD5"/>
    <w:rsid w:val="6FDE5419"/>
    <w:rsid w:val="70041B6B"/>
    <w:rsid w:val="7007380B"/>
    <w:rsid w:val="700A0E26"/>
    <w:rsid w:val="70181CDB"/>
    <w:rsid w:val="70512AD7"/>
    <w:rsid w:val="705A7660"/>
    <w:rsid w:val="70704E41"/>
    <w:rsid w:val="70785D38"/>
    <w:rsid w:val="707A560C"/>
    <w:rsid w:val="70B64754"/>
    <w:rsid w:val="70C80B8C"/>
    <w:rsid w:val="7110725D"/>
    <w:rsid w:val="71183A03"/>
    <w:rsid w:val="7179774D"/>
    <w:rsid w:val="718D7B95"/>
    <w:rsid w:val="72191BC2"/>
    <w:rsid w:val="722F7FE6"/>
    <w:rsid w:val="723074CC"/>
    <w:rsid w:val="723376D6"/>
    <w:rsid w:val="72B62FFF"/>
    <w:rsid w:val="72D77589"/>
    <w:rsid w:val="72ED47BB"/>
    <w:rsid w:val="731545B8"/>
    <w:rsid w:val="7341280A"/>
    <w:rsid w:val="73463ECB"/>
    <w:rsid w:val="734B0BE8"/>
    <w:rsid w:val="73566AB2"/>
    <w:rsid w:val="73626BF3"/>
    <w:rsid w:val="737A4969"/>
    <w:rsid w:val="738E466E"/>
    <w:rsid w:val="73F5269F"/>
    <w:rsid w:val="740C4B45"/>
    <w:rsid w:val="741D0D47"/>
    <w:rsid w:val="74304582"/>
    <w:rsid w:val="745443C6"/>
    <w:rsid w:val="74644D47"/>
    <w:rsid w:val="746663FB"/>
    <w:rsid w:val="748A1266"/>
    <w:rsid w:val="74A52E74"/>
    <w:rsid w:val="74B3733F"/>
    <w:rsid w:val="74BD686C"/>
    <w:rsid w:val="74E32935"/>
    <w:rsid w:val="754B4973"/>
    <w:rsid w:val="755342FA"/>
    <w:rsid w:val="75556317"/>
    <w:rsid w:val="75570914"/>
    <w:rsid w:val="757F1917"/>
    <w:rsid w:val="76206E52"/>
    <w:rsid w:val="76296A1F"/>
    <w:rsid w:val="7634093B"/>
    <w:rsid w:val="76637A2B"/>
    <w:rsid w:val="76646E19"/>
    <w:rsid w:val="76C770D1"/>
    <w:rsid w:val="76D16085"/>
    <w:rsid w:val="76D96E78"/>
    <w:rsid w:val="7715608F"/>
    <w:rsid w:val="771E3744"/>
    <w:rsid w:val="77415EF2"/>
    <w:rsid w:val="77567DDE"/>
    <w:rsid w:val="776506EB"/>
    <w:rsid w:val="778A4C9D"/>
    <w:rsid w:val="77986704"/>
    <w:rsid w:val="77AB1D9E"/>
    <w:rsid w:val="77C96E79"/>
    <w:rsid w:val="77F16348"/>
    <w:rsid w:val="78327BA1"/>
    <w:rsid w:val="783B1B25"/>
    <w:rsid w:val="786157B3"/>
    <w:rsid w:val="789B1453"/>
    <w:rsid w:val="78BE4504"/>
    <w:rsid w:val="78D60E4A"/>
    <w:rsid w:val="78E07937"/>
    <w:rsid w:val="78F46178"/>
    <w:rsid w:val="7927337A"/>
    <w:rsid w:val="79773031"/>
    <w:rsid w:val="798573CE"/>
    <w:rsid w:val="79870EEB"/>
    <w:rsid w:val="79EE773C"/>
    <w:rsid w:val="79FD2DB8"/>
    <w:rsid w:val="7A027B1B"/>
    <w:rsid w:val="7A3E0641"/>
    <w:rsid w:val="7A4A3F6C"/>
    <w:rsid w:val="7AA1401F"/>
    <w:rsid w:val="7AA67247"/>
    <w:rsid w:val="7AA714F8"/>
    <w:rsid w:val="7ADF08FE"/>
    <w:rsid w:val="7B32287A"/>
    <w:rsid w:val="7B406B0E"/>
    <w:rsid w:val="7B487B15"/>
    <w:rsid w:val="7B934068"/>
    <w:rsid w:val="7BD171FA"/>
    <w:rsid w:val="7C0958FB"/>
    <w:rsid w:val="7C145B2B"/>
    <w:rsid w:val="7C161075"/>
    <w:rsid w:val="7C1D1542"/>
    <w:rsid w:val="7C1D67EB"/>
    <w:rsid w:val="7C2B6FA4"/>
    <w:rsid w:val="7C422106"/>
    <w:rsid w:val="7C5154EB"/>
    <w:rsid w:val="7C521EDB"/>
    <w:rsid w:val="7CBC2465"/>
    <w:rsid w:val="7CC320EC"/>
    <w:rsid w:val="7CE37753"/>
    <w:rsid w:val="7CED4C65"/>
    <w:rsid w:val="7CF95B0B"/>
    <w:rsid w:val="7D0C5A4B"/>
    <w:rsid w:val="7D433C28"/>
    <w:rsid w:val="7D5C4331"/>
    <w:rsid w:val="7D6416D3"/>
    <w:rsid w:val="7D7D60D2"/>
    <w:rsid w:val="7D880731"/>
    <w:rsid w:val="7DAD079E"/>
    <w:rsid w:val="7DB6430C"/>
    <w:rsid w:val="7E3731E7"/>
    <w:rsid w:val="7E5A0AB4"/>
    <w:rsid w:val="7E775788"/>
    <w:rsid w:val="7E9148F6"/>
    <w:rsid w:val="7EA128FE"/>
    <w:rsid w:val="7EAD4DFF"/>
    <w:rsid w:val="7ECA3C03"/>
    <w:rsid w:val="7EDF1F21"/>
    <w:rsid w:val="7F2940DC"/>
    <w:rsid w:val="7F2A644F"/>
    <w:rsid w:val="7F916950"/>
    <w:rsid w:val="7FA95270"/>
    <w:rsid w:val="7FC52E74"/>
    <w:rsid w:val="7FD24C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楷体_GB2312" w:cs="Times New Roman"/>
      <w:color w:val="000000"/>
      <w:lang w:val="en-US" w:eastAsia="en-US" w:bidi="ar-SA"/>
    </w:rPr>
  </w:style>
  <w:style w:type="paragraph" w:styleId="2">
    <w:name w:val="heading 4"/>
    <w:basedOn w:val="1"/>
    <w:next w:val="1"/>
    <w:semiHidden/>
    <w:unhideWhenUsed/>
    <w:qFormat/>
    <w:uiPriority w:val="9"/>
    <w:pPr>
      <w:spacing w:beforeAutospacing="1" w:afterAutospacing="1"/>
      <w:outlineLvl w:val="3"/>
    </w:pPr>
    <w:rPr>
      <w:rFonts w:hint="eastAsia" w:ascii="宋体" w:hAnsi="宋体" w:eastAsia="宋体"/>
      <w:b/>
      <w:sz w:val="24"/>
      <w:szCs w:val="24"/>
      <w:lang w:eastAsia="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unhideWhenUsed/>
    <w:qFormat/>
    <w:uiPriority w:val="99"/>
  </w:style>
  <w:style w:type="paragraph" w:styleId="4">
    <w:name w:val="Balloon Text"/>
    <w:basedOn w:val="1"/>
    <w:link w:val="18"/>
    <w:unhideWhenUsed/>
    <w:qFormat/>
    <w:uiPriority w:val="99"/>
    <w:rPr>
      <w:rFonts w:ascii="宋体" w:eastAsia="宋体"/>
      <w:sz w:val="18"/>
      <w:szCs w:val="18"/>
    </w:rPr>
  </w:style>
  <w:style w:type="paragraph" w:styleId="5">
    <w:name w:val="footer"/>
    <w:basedOn w:val="1"/>
    <w:link w:val="19"/>
    <w:unhideWhenUsed/>
    <w:qFormat/>
    <w:uiPriority w:val="99"/>
    <w:pPr>
      <w:tabs>
        <w:tab w:val="center" w:pos="4153"/>
        <w:tab w:val="right" w:pos="8306"/>
      </w:tabs>
      <w:snapToGrid w:val="0"/>
    </w:pPr>
    <w:rPr>
      <w:sz w:val="18"/>
      <w:szCs w:val="18"/>
    </w:rPr>
  </w:style>
  <w:style w:type="paragraph" w:styleId="6">
    <w:name w:val="header"/>
    <w:basedOn w:val="1"/>
    <w:link w:val="16"/>
    <w:qFormat/>
    <w:uiPriority w:val="0"/>
  </w:style>
  <w:style w:type="paragraph" w:styleId="7">
    <w:name w:val="Normal (Web)"/>
    <w:basedOn w:val="1"/>
    <w:unhideWhenUsed/>
    <w:qFormat/>
    <w:uiPriority w:val="99"/>
    <w:rPr>
      <w:rFonts w:ascii="Times New Roman" w:hAnsi="Times New Roman"/>
      <w:sz w:val="24"/>
      <w:szCs w:val="24"/>
    </w:rPr>
  </w:style>
  <w:style w:type="paragraph" w:styleId="8">
    <w:name w:val="annotation subject"/>
    <w:basedOn w:val="3"/>
    <w:next w:val="3"/>
    <w:link w:val="22"/>
    <w:unhideWhenUsed/>
    <w:qFormat/>
    <w:uiPriority w:val="99"/>
    <w:rPr>
      <w:b/>
      <w:bCs/>
    </w:rPr>
  </w:style>
  <w:style w:type="table" w:styleId="10">
    <w:name w:val="Table Grid"/>
    <w:basedOn w:val="9"/>
    <w:qFormat/>
    <w:uiPriority w:val="0"/>
    <w:pPr>
      <w:spacing w:before="120" w:after="120" w:line="240" w:lineRule="atLeast"/>
    </w:pPr>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rPr>
  </w:style>
  <w:style w:type="character" w:styleId="13">
    <w:name w:val="Hyperlink"/>
    <w:basedOn w:val="11"/>
    <w:semiHidden/>
    <w:unhideWhenUsed/>
    <w:qFormat/>
    <w:uiPriority w:val="99"/>
    <w:rPr>
      <w:color w:val="0000FF"/>
      <w:u w:val="single"/>
    </w:rPr>
  </w:style>
  <w:style w:type="character" w:styleId="14">
    <w:name w:val="annotation reference"/>
    <w:basedOn w:val="11"/>
    <w:unhideWhenUsed/>
    <w:qFormat/>
    <w:uiPriority w:val="99"/>
    <w:rPr>
      <w:sz w:val="21"/>
      <w:szCs w:val="21"/>
    </w:rPr>
  </w:style>
  <w:style w:type="paragraph" w:customStyle="1" w:styleId="15">
    <w:name w:val="K&amp;W Body text"/>
    <w:basedOn w:val="1"/>
    <w:qFormat/>
    <w:uiPriority w:val="0"/>
    <w:pPr>
      <w:spacing w:after="280" w:line="240" w:lineRule="atLeast"/>
      <w:jc w:val="both"/>
    </w:pPr>
    <w:rPr>
      <w:color w:val="auto"/>
    </w:rPr>
  </w:style>
  <w:style w:type="character" w:customStyle="1" w:styleId="16">
    <w:name w:val="页眉 字符"/>
    <w:basedOn w:val="11"/>
    <w:link w:val="6"/>
    <w:qFormat/>
    <w:uiPriority w:val="0"/>
    <w:rPr>
      <w:rFonts w:ascii="Arial" w:hAnsi="Arial" w:eastAsia="楷体_GB2312" w:cs="Times New Roman"/>
      <w:color w:val="000000"/>
      <w:kern w:val="0"/>
      <w:sz w:val="20"/>
      <w:szCs w:val="20"/>
      <w:lang w:eastAsia="en-US"/>
    </w:rPr>
  </w:style>
  <w:style w:type="paragraph" w:customStyle="1" w:styleId="17">
    <w:name w:val="修订1"/>
    <w:hidden/>
    <w:semiHidden/>
    <w:qFormat/>
    <w:uiPriority w:val="99"/>
    <w:rPr>
      <w:rFonts w:ascii="Arial" w:hAnsi="Arial" w:eastAsia="楷体_GB2312" w:cs="Times New Roman"/>
      <w:color w:val="000000"/>
      <w:lang w:val="en-US" w:eastAsia="en-US" w:bidi="ar-SA"/>
    </w:rPr>
  </w:style>
  <w:style w:type="character" w:customStyle="1" w:styleId="18">
    <w:name w:val="批注框文本 字符"/>
    <w:basedOn w:val="11"/>
    <w:link w:val="4"/>
    <w:semiHidden/>
    <w:qFormat/>
    <w:uiPriority w:val="99"/>
    <w:rPr>
      <w:rFonts w:ascii="宋体" w:hAnsi="Arial" w:eastAsia="宋体" w:cs="Times New Roman"/>
      <w:color w:val="000000"/>
      <w:kern w:val="0"/>
      <w:sz w:val="18"/>
      <w:szCs w:val="18"/>
      <w:lang w:eastAsia="en-US"/>
    </w:rPr>
  </w:style>
  <w:style w:type="character" w:customStyle="1" w:styleId="19">
    <w:name w:val="页脚 字符"/>
    <w:basedOn w:val="11"/>
    <w:link w:val="5"/>
    <w:qFormat/>
    <w:uiPriority w:val="99"/>
    <w:rPr>
      <w:rFonts w:ascii="Arial" w:hAnsi="Arial" w:eastAsia="楷体_GB2312" w:cs="Times New Roman"/>
      <w:color w:val="000000"/>
      <w:kern w:val="0"/>
      <w:sz w:val="18"/>
      <w:szCs w:val="18"/>
      <w:lang w:eastAsia="en-US"/>
    </w:rPr>
  </w:style>
  <w:style w:type="paragraph" w:customStyle="1" w:styleId="20">
    <w:name w:val="列出段落1"/>
    <w:basedOn w:val="1"/>
    <w:qFormat/>
    <w:uiPriority w:val="34"/>
    <w:pPr>
      <w:ind w:firstLine="420" w:firstLineChars="200"/>
    </w:pPr>
  </w:style>
  <w:style w:type="character" w:customStyle="1" w:styleId="21">
    <w:name w:val="批注文字 字符"/>
    <w:basedOn w:val="11"/>
    <w:link w:val="3"/>
    <w:qFormat/>
    <w:uiPriority w:val="99"/>
    <w:rPr>
      <w:rFonts w:ascii="Arial" w:hAnsi="Arial" w:eastAsia="楷体_GB2312" w:cs="Times New Roman"/>
      <w:color w:val="000000"/>
      <w:kern w:val="0"/>
      <w:sz w:val="20"/>
      <w:szCs w:val="20"/>
      <w:lang w:eastAsia="en-US"/>
    </w:rPr>
  </w:style>
  <w:style w:type="character" w:customStyle="1" w:styleId="22">
    <w:name w:val="批注主题 字符"/>
    <w:basedOn w:val="21"/>
    <w:link w:val="8"/>
    <w:semiHidden/>
    <w:qFormat/>
    <w:uiPriority w:val="99"/>
    <w:rPr>
      <w:rFonts w:ascii="Arial" w:hAnsi="Arial" w:eastAsia="楷体_GB2312" w:cs="Times New Roman"/>
      <w:b/>
      <w:bCs/>
      <w:color w:val="000000"/>
      <w:kern w:val="0"/>
      <w:sz w:val="20"/>
      <w:szCs w:val="20"/>
      <w:lang w:eastAsia="en-US"/>
    </w:rPr>
  </w:style>
  <w:style w:type="paragraph" w:styleId="23">
    <w:name w:val="List Paragraph"/>
    <w:basedOn w:val="1"/>
    <w:unhideWhenUsed/>
    <w:qFormat/>
    <w:uiPriority w:val="99"/>
    <w:pPr>
      <w:ind w:firstLine="420" w:firstLineChars="200"/>
    </w:pPr>
  </w:style>
  <w:style w:type="character" w:customStyle="1" w:styleId="24">
    <w:name w:val="fontstyle01"/>
    <w:basedOn w:val="11"/>
    <w:qFormat/>
    <w:uiPriority w:val="0"/>
    <w:rPr>
      <w:rFonts w:hint="eastAsia" w:ascii="宋体" w:hAnsi="宋体" w:eastAsia="宋体" w:cs="宋体"/>
      <w:color w:val="000000"/>
      <w:sz w:val="24"/>
      <w:szCs w:val="24"/>
    </w:rPr>
  </w:style>
  <w:style w:type="paragraph" w:customStyle="1" w:styleId="25">
    <w:name w:val="修订2"/>
    <w:hidden/>
    <w:semiHidden/>
    <w:qFormat/>
    <w:uiPriority w:val="99"/>
    <w:rPr>
      <w:rFonts w:ascii="Arial" w:hAnsi="Arial" w:eastAsia="楷体_GB2312" w:cs="Times New Roman"/>
      <w:color w:val="000000"/>
      <w:lang w:val="en-US" w:eastAsia="en-US" w:bidi="ar-SA"/>
    </w:rPr>
  </w:style>
  <w:style w:type="paragraph" w:customStyle="1" w:styleId="26">
    <w:name w:val="修订3"/>
    <w:hidden/>
    <w:semiHidden/>
    <w:qFormat/>
    <w:uiPriority w:val="99"/>
    <w:rPr>
      <w:rFonts w:ascii="Arial" w:hAnsi="Arial" w:eastAsia="楷体_GB2312" w:cs="Times New Roman"/>
      <w:color w:val="00000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6DE96-60F9-4215-95E6-46E90EC9E3F9}">
  <ds:schemaRefs/>
</ds:datastoreItem>
</file>

<file path=docProps/app.xml><?xml version="1.0" encoding="utf-8"?>
<Properties xmlns="http://schemas.openxmlformats.org/officeDocument/2006/extended-properties" xmlns:vt="http://schemas.openxmlformats.org/officeDocument/2006/docPropsVTypes">
  <Template>Normal</Template>
  <Company>King &amp; Wood Mallesons</Company>
  <Pages>10</Pages>
  <Words>5090</Words>
  <Characters>5592</Characters>
  <Lines>42</Lines>
  <Paragraphs>11</Paragraphs>
  <TotalTime>53</TotalTime>
  <ScaleCrop>false</ScaleCrop>
  <LinksUpToDate>false</LinksUpToDate>
  <CharactersWithSpaces>5937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2020-08-26T07:54:00Z</dcterms:created>
  <dc:creator>liyu liu</dc:creator>
  <cp:lastModifiedBy>DH YXQ</cp:lastModifiedBy>
  <cp:lastPrinted>2021-03-29T08:58:00Z</cp:lastPrinted>
  <dcterms:modified xsi:type="dcterms:W3CDTF">2022-10-28T09:18:27Z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C3C5DC5775E941D888B4A6DB81FA024D</vt:lpwstr>
  </property>
</Properties>
</file>