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8B63" w14:textId="6E378A14" w:rsidR="0071537A" w:rsidRPr="00EE24EF" w:rsidRDefault="00E91F81">
      <w:pPr>
        <w:spacing w:line="360" w:lineRule="auto"/>
        <w:rPr>
          <w:sz w:val="24"/>
          <w:szCs w:val="24"/>
        </w:rPr>
      </w:pPr>
      <w:r w:rsidRPr="00EE24EF">
        <w:rPr>
          <w:sz w:val="24"/>
          <w:szCs w:val="24"/>
        </w:rPr>
        <w:t>证券代码：</w:t>
      </w:r>
      <w:r w:rsidRPr="00EE24EF">
        <w:rPr>
          <w:sz w:val="24"/>
          <w:szCs w:val="24"/>
        </w:rPr>
        <w:t>002</w:t>
      </w:r>
      <w:r w:rsidR="00972188" w:rsidRPr="00EE24EF">
        <w:rPr>
          <w:sz w:val="24"/>
          <w:szCs w:val="24"/>
        </w:rPr>
        <w:t>785</w:t>
      </w:r>
      <w:r w:rsidRPr="00EE24EF">
        <w:rPr>
          <w:sz w:val="24"/>
          <w:szCs w:val="24"/>
        </w:rPr>
        <w:t xml:space="preserve">         </w:t>
      </w:r>
      <w:r w:rsidRPr="00EE24EF">
        <w:rPr>
          <w:sz w:val="24"/>
          <w:szCs w:val="24"/>
        </w:rPr>
        <w:t>证券简称：</w:t>
      </w:r>
      <w:r w:rsidR="00972188" w:rsidRPr="00EE24EF">
        <w:rPr>
          <w:rFonts w:hint="eastAsia"/>
          <w:sz w:val="24"/>
          <w:szCs w:val="24"/>
        </w:rPr>
        <w:t>万里石</w:t>
      </w:r>
      <w:r w:rsidRPr="00EE24EF">
        <w:rPr>
          <w:sz w:val="24"/>
          <w:szCs w:val="24"/>
        </w:rPr>
        <w:t xml:space="preserve">           </w:t>
      </w:r>
      <w:r w:rsidRPr="00EE24EF">
        <w:rPr>
          <w:sz w:val="24"/>
          <w:szCs w:val="24"/>
        </w:rPr>
        <w:t>公告编号：</w:t>
      </w:r>
      <w:r w:rsidR="00DF575C" w:rsidRPr="00EE24EF">
        <w:rPr>
          <w:sz w:val="24"/>
          <w:szCs w:val="24"/>
        </w:rPr>
        <w:t>2022</w:t>
      </w:r>
      <w:r w:rsidRPr="00EE24EF">
        <w:rPr>
          <w:rFonts w:hint="eastAsia"/>
          <w:sz w:val="24"/>
          <w:szCs w:val="24"/>
        </w:rPr>
        <w:t>-</w:t>
      </w:r>
      <w:r w:rsidR="00FF70B4">
        <w:rPr>
          <w:sz w:val="24"/>
          <w:szCs w:val="24"/>
        </w:rPr>
        <w:t>10</w:t>
      </w:r>
      <w:r w:rsidR="00C03B68">
        <w:rPr>
          <w:sz w:val="24"/>
          <w:szCs w:val="24"/>
        </w:rPr>
        <w:t>1</w:t>
      </w:r>
    </w:p>
    <w:p w14:paraId="183B1704" w14:textId="6DFE9365" w:rsidR="0071537A" w:rsidRPr="006E48D1" w:rsidRDefault="00DF575C" w:rsidP="006E48D1">
      <w:pPr>
        <w:spacing w:beforeLines="50" w:before="156" w:line="360" w:lineRule="auto"/>
        <w:jc w:val="center"/>
        <w:rPr>
          <w:bCs/>
          <w:sz w:val="36"/>
          <w:szCs w:val="36"/>
        </w:rPr>
      </w:pPr>
      <w:r w:rsidRPr="006E48D1">
        <w:rPr>
          <w:bCs/>
          <w:sz w:val="36"/>
          <w:szCs w:val="36"/>
        </w:rPr>
        <w:t>厦门万里石</w:t>
      </w:r>
      <w:r w:rsidR="00E91F81" w:rsidRPr="006E48D1">
        <w:rPr>
          <w:bCs/>
          <w:sz w:val="36"/>
          <w:szCs w:val="36"/>
        </w:rPr>
        <w:t>股份有限公司</w:t>
      </w:r>
    </w:p>
    <w:p w14:paraId="2DEEBF92" w14:textId="5A697C1B" w:rsidR="0071537A" w:rsidRPr="006E48D1" w:rsidRDefault="00E91F81" w:rsidP="006E48D1">
      <w:pPr>
        <w:spacing w:line="360" w:lineRule="auto"/>
        <w:jc w:val="center"/>
        <w:rPr>
          <w:bCs/>
          <w:sz w:val="36"/>
          <w:szCs w:val="36"/>
        </w:rPr>
      </w:pPr>
      <w:r w:rsidRPr="006E48D1">
        <w:rPr>
          <w:rFonts w:hint="eastAsia"/>
          <w:bCs/>
          <w:sz w:val="36"/>
          <w:szCs w:val="36"/>
        </w:rPr>
        <w:t>关于公司</w:t>
      </w:r>
      <w:r w:rsidR="00DF575C" w:rsidRPr="006E48D1">
        <w:rPr>
          <w:rFonts w:hint="eastAsia"/>
          <w:bCs/>
          <w:sz w:val="36"/>
          <w:szCs w:val="36"/>
        </w:rPr>
        <w:t>2022</w:t>
      </w:r>
      <w:r w:rsidRPr="006E48D1">
        <w:rPr>
          <w:rFonts w:hint="eastAsia"/>
          <w:bCs/>
          <w:sz w:val="36"/>
          <w:szCs w:val="36"/>
        </w:rPr>
        <w:t>年股票期权与限制性股票激励计划之</w:t>
      </w:r>
    </w:p>
    <w:p w14:paraId="3B380E55" w14:textId="34D9C85A" w:rsidR="0071537A" w:rsidRPr="006E48D1" w:rsidRDefault="00FF70B4" w:rsidP="006E48D1">
      <w:pPr>
        <w:spacing w:afterLines="50" w:after="156" w:line="360" w:lineRule="auto"/>
        <w:jc w:val="center"/>
        <w:rPr>
          <w:bCs/>
          <w:sz w:val="36"/>
          <w:szCs w:val="36"/>
        </w:rPr>
      </w:pPr>
      <w:r>
        <w:rPr>
          <w:rFonts w:hint="eastAsia"/>
          <w:bCs/>
          <w:sz w:val="36"/>
          <w:szCs w:val="36"/>
        </w:rPr>
        <w:t>预留</w:t>
      </w:r>
      <w:r w:rsidR="00E91F81" w:rsidRPr="006E48D1">
        <w:rPr>
          <w:rFonts w:hint="eastAsia"/>
          <w:bCs/>
          <w:sz w:val="36"/>
          <w:szCs w:val="36"/>
        </w:rPr>
        <w:t>股票期权授予完成的公告</w:t>
      </w:r>
    </w:p>
    <w:p w14:paraId="708A9D3E" w14:textId="77777777" w:rsidR="0071537A" w:rsidRDefault="00E91F81">
      <w:pPr>
        <w:widowControl/>
        <w:spacing w:beforeLines="50" w:before="156" w:line="360" w:lineRule="auto"/>
        <w:ind w:firstLineChars="200" w:firstLine="602"/>
        <w:rPr>
          <w:b/>
          <w:bCs/>
          <w:sz w:val="24"/>
          <w:szCs w:val="24"/>
        </w:rPr>
      </w:pPr>
      <w:r>
        <w:rPr>
          <w:b/>
          <w:bCs/>
          <w:noProof/>
          <w:sz w:val="30"/>
          <w:szCs w:val="30"/>
        </w:rPr>
        <mc:AlternateContent>
          <mc:Choice Requires="wps">
            <w:drawing>
              <wp:anchor distT="0" distB="0" distL="114300" distR="114300" simplePos="0" relativeHeight="251659264" behindDoc="0" locked="0" layoutInCell="1" allowOverlap="1" wp14:anchorId="73BB9A16" wp14:editId="7F133F77">
                <wp:simplePos x="0" y="0"/>
                <wp:positionH relativeFrom="margin">
                  <wp:posOffset>6350</wp:posOffset>
                </wp:positionH>
                <wp:positionV relativeFrom="paragraph">
                  <wp:posOffset>27940</wp:posOffset>
                </wp:positionV>
                <wp:extent cx="5261610" cy="698500"/>
                <wp:effectExtent l="0" t="0" r="15240" b="25400"/>
                <wp:wrapSquare wrapText="bothSides"/>
                <wp:docPr id="1" name="矩形 1"/>
                <wp:cNvGraphicFramePr/>
                <a:graphic xmlns:a="http://schemas.openxmlformats.org/drawingml/2006/main">
                  <a:graphicData uri="http://schemas.microsoft.com/office/word/2010/wordprocessingShape">
                    <wps:wsp>
                      <wps:cNvSpPr/>
                      <wps:spPr>
                        <a:xfrm>
                          <a:off x="0" y="0"/>
                          <a:ext cx="5261610" cy="698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186E3" w14:textId="77777777" w:rsidR="0071537A" w:rsidRPr="006E48D1" w:rsidRDefault="00E91F81">
                            <w:pPr>
                              <w:spacing w:line="360" w:lineRule="auto"/>
                              <w:ind w:firstLineChars="200" w:firstLine="480"/>
                              <w:jc w:val="left"/>
                              <w:rPr>
                                <w:color w:val="000000" w:themeColor="text1"/>
                              </w:rPr>
                            </w:pPr>
                            <w:r w:rsidRPr="006E48D1">
                              <w:rPr>
                                <w:color w:val="000000" w:themeColor="text1"/>
                                <w:sz w:val="24"/>
                                <w:szCs w:val="24"/>
                              </w:rPr>
                              <w:t>本公司及董事会全体成员保证信息披露的内容真实、准确、完整，无虚假记载、误导性陈述或者重大遗漏</w:t>
                            </w:r>
                            <w:r w:rsidRPr="006E48D1">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3BB9A16" id="矩形 1" o:spid="_x0000_s1026" style="position:absolute;left:0;text-align:left;margin-left:.5pt;margin-top:2.2pt;width:414.3pt;height:5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" filled="f" strokecolor="black [3213]" strokeweight="1pt">
                <v:textbox>
                  <w:txbxContent>
                    <w:p w14:paraId="746186E3" w14:textId="77777777" w:rsidR="0071537A" w:rsidRPr="006E48D1" w:rsidRDefault="00E91F81">
                      <w:pPr>
                        <w:spacing w:line="360" w:lineRule="auto"/>
                        <w:ind w:firstLineChars="200" w:firstLine="480"/>
                        <w:jc w:val="left"/>
                        <w:rPr>
                          <w:color w:val="000000" w:themeColor="text1"/>
                        </w:rPr>
                      </w:pPr>
                      <w:r w:rsidRPr="006E48D1">
                        <w:rPr>
                          <w:color w:val="000000" w:themeColor="text1"/>
                          <w:sz w:val="24"/>
                          <w:szCs w:val="24"/>
                        </w:rPr>
                        <w:t>本公司及董事会全体成员保证信息披露的内容真实、准确、完整，无虚假记载、误导性陈述或者重大遗漏</w:t>
                      </w:r>
                      <w:r w:rsidRPr="006E48D1">
                        <w:rPr>
                          <w:rFonts w:hint="eastAsia"/>
                          <w:color w:val="000000" w:themeColor="text1"/>
                          <w:sz w:val="24"/>
                          <w:szCs w:val="24"/>
                        </w:rPr>
                        <w:t>。</w:t>
                      </w:r>
                    </w:p>
                  </w:txbxContent>
                </v:textbox>
                <w10:wrap type="square" anchorx="margin"/>
              </v:rect>
            </w:pict>
          </mc:Fallback>
        </mc:AlternateContent>
      </w:r>
      <w:r>
        <w:rPr>
          <w:rFonts w:hint="eastAsia"/>
          <w:b/>
          <w:bCs/>
          <w:sz w:val="24"/>
          <w:szCs w:val="24"/>
        </w:rPr>
        <w:t>特别提示：</w:t>
      </w:r>
    </w:p>
    <w:p w14:paraId="10BF4B43" w14:textId="1DEDA2A7" w:rsidR="0071537A" w:rsidRDefault="00E91F81">
      <w:pPr>
        <w:widowControl/>
        <w:numPr>
          <w:ilvl w:val="0"/>
          <w:numId w:val="2"/>
        </w:numPr>
        <w:spacing w:line="360" w:lineRule="auto"/>
        <w:ind w:firstLineChars="200" w:firstLine="480"/>
        <w:rPr>
          <w:sz w:val="24"/>
          <w:szCs w:val="24"/>
        </w:rPr>
      </w:pPr>
      <w:r>
        <w:rPr>
          <w:rFonts w:hint="eastAsia"/>
          <w:sz w:val="24"/>
          <w:szCs w:val="24"/>
        </w:rPr>
        <w:t>股票期权代码：</w:t>
      </w:r>
      <w:r w:rsidR="00627CB7">
        <w:rPr>
          <w:sz w:val="24"/>
          <w:szCs w:val="24"/>
        </w:rPr>
        <w:t>037313</w:t>
      </w:r>
    </w:p>
    <w:p w14:paraId="15B70702" w14:textId="5D77BB6C" w:rsidR="0071537A" w:rsidRDefault="00E91F81">
      <w:pPr>
        <w:widowControl/>
        <w:numPr>
          <w:ilvl w:val="0"/>
          <w:numId w:val="2"/>
        </w:numPr>
        <w:spacing w:line="360" w:lineRule="auto"/>
        <w:ind w:firstLineChars="200" w:firstLine="480"/>
        <w:rPr>
          <w:sz w:val="24"/>
          <w:szCs w:val="24"/>
        </w:rPr>
      </w:pPr>
      <w:r>
        <w:rPr>
          <w:rFonts w:hint="eastAsia"/>
          <w:sz w:val="24"/>
          <w:szCs w:val="24"/>
        </w:rPr>
        <w:t>股票期权简称：</w:t>
      </w:r>
      <w:r w:rsidR="00DF575C" w:rsidRPr="006E48D1">
        <w:rPr>
          <w:rFonts w:hint="eastAsia"/>
          <w:sz w:val="24"/>
          <w:szCs w:val="24"/>
        </w:rPr>
        <w:t>万里</w:t>
      </w:r>
      <w:r w:rsidRPr="006E48D1">
        <w:rPr>
          <w:rFonts w:hint="eastAsia"/>
          <w:sz w:val="24"/>
          <w:szCs w:val="24"/>
        </w:rPr>
        <w:t>JLC</w:t>
      </w:r>
      <w:r w:rsidR="00FF70B4">
        <w:rPr>
          <w:sz w:val="24"/>
          <w:szCs w:val="24"/>
        </w:rPr>
        <w:t>2</w:t>
      </w:r>
    </w:p>
    <w:p w14:paraId="29949E03" w14:textId="7F812328" w:rsidR="0071537A" w:rsidRDefault="00E91F81">
      <w:pPr>
        <w:widowControl/>
        <w:numPr>
          <w:ilvl w:val="0"/>
          <w:numId w:val="2"/>
        </w:numPr>
        <w:spacing w:line="360" w:lineRule="auto"/>
        <w:ind w:firstLineChars="200" w:firstLine="480"/>
        <w:rPr>
          <w:sz w:val="24"/>
          <w:szCs w:val="24"/>
        </w:rPr>
      </w:pPr>
      <w:r>
        <w:rPr>
          <w:rFonts w:hint="eastAsia"/>
          <w:sz w:val="24"/>
          <w:szCs w:val="24"/>
        </w:rPr>
        <w:t>股票期权</w:t>
      </w:r>
      <w:r w:rsidR="00D90956">
        <w:rPr>
          <w:rFonts w:hint="eastAsia"/>
          <w:sz w:val="24"/>
          <w:szCs w:val="24"/>
        </w:rPr>
        <w:t>预留授权日</w:t>
      </w:r>
      <w:r>
        <w:rPr>
          <w:rFonts w:hint="eastAsia"/>
          <w:sz w:val="24"/>
          <w:szCs w:val="24"/>
        </w:rPr>
        <w:t>：</w:t>
      </w:r>
      <w:r w:rsidR="0089362F">
        <w:rPr>
          <w:rFonts w:hint="eastAsia"/>
          <w:sz w:val="24"/>
          <w:szCs w:val="24"/>
        </w:rPr>
        <w:t>2</w:t>
      </w:r>
      <w:r w:rsidR="0089362F">
        <w:rPr>
          <w:sz w:val="24"/>
          <w:szCs w:val="24"/>
        </w:rPr>
        <w:t>022</w:t>
      </w:r>
      <w:r>
        <w:rPr>
          <w:rFonts w:hint="eastAsia"/>
          <w:sz w:val="24"/>
          <w:szCs w:val="24"/>
        </w:rPr>
        <w:t>年</w:t>
      </w:r>
      <w:r w:rsidR="00FF70B4">
        <w:rPr>
          <w:sz w:val="24"/>
          <w:szCs w:val="24"/>
        </w:rPr>
        <w:t>10</w:t>
      </w:r>
      <w:r>
        <w:rPr>
          <w:rFonts w:hint="eastAsia"/>
          <w:sz w:val="24"/>
          <w:szCs w:val="24"/>
        </w:rPr>
        <w:t>月</w:t>
      </w:r>
      <w:r w:rsidR="00FF70B4">
        <w:rPr>
          <w:sz w:val="24"/>
          <w:szCs w:val="24"/>
        </w:rPr>
        <w:t>28</w:t>
      </w:r>
      <w:r>
        <w:rPr>
          <w:rFonts w:hint="eastAsia"/>
          <w:sz w:val="24"/>
          <w:szCs w:val="24"/>
        </w:rPr>
        <w:t>日</w:t>
      </w:r>
    </w:p>
    <w:p w14:paraId="457E9B1A" w14:textId="01C394F0" w:rsidR="0071537A" w:rsidRDefault="00E91F81">
      <w:pPr>
        <w:widowControl/>
        <w:numPr>
          <w:ilvl w:val="0"/>
          <w:numId w:val="2"/>
        </w:numPr>
        <w:spacing w:line="360" w:lineRule="auto"/>
        <w:ind w:firstLineChars="200" w:firstLine="480"/>
        <w:rPr>
          <w:sz w:val="24"/>
          <w:szCs w:val="24"/>
        </w:rPr>
      </w:pPr>
      <w:r>
        <w:rPr>
          <w:rFonts w:hint="eastAsia"/>
          <w:sz w:val="24"/>
          <w:szCs w:val="24"/>
        </w:rPr>
        <w:t>股票期权的行权价格：</w:t>
      </w:r>
      <w:r w:rsidR="006E48D1">
        <w:rPr>
          <w:rFonts w:hint="eastAsia"/>
          <w:sz w:val="24"/>
          <w:szCs w:val="24"/>
        </w:rPr>
        <w:t>1</w:t>
      </w:r>
      <w:r w:rsidR="006E48D1">
        <w:rPr>
          <w:sz w:val="24"/>
          <w:szCs w:val="24"/>
        </w:rPr>
        <w:t>4.74</w:t>
      </w:r>
      <w:r>
        <w:rPr>
          <w:rFonts w:hint="eastAsia"/>
          <w:sz w:val="24"/>
          <w:szCs w:val="24"/>
        </w:rPr>
        <w:t>元</w:t>
      </w:r>
      <w:r>
        <w:rPr>
          <w:rFonts w:hint="eastAsia"/>
          <w:sz w:val="24"/>
          <w:szCs w:val="24"/>
        </w:rPr>
        <w:t>/</w:t>
      </w:r>
      <w:r>
        <w:rPr>
          <w:rFonts w:hint="eastAsia"/>
          <w:sz w:val="24"/>
          <w:szCs w:val="24"/>
        </w:rPr>
        <w:t>股</w:t>
      </w:r>
    </w:p>
    <w:p w14:paraId="25110F43" w14:textId="46EB310B" w:rsidR="0071537A" w:rsidRDefault="00E91F81">
      <w:pPr>
        <w:widowControl/>
        <w:numPr>
          <w:ilvl w:val="0"/>
          <w:numId w:val="2"/>
        </w:numPr>
        <w:spacing w:line="360" w:lineRule="auto"/>
        <w:ind w:firstLineChars="200" w:firstLine="480"/>
        <w:rPr>
          <w:sz w:val="24"/>
          <w:szCs w:val="24"/>
        </w:rPr>
      </w:pPr>
      <w:r>
        <w:rPr>
          <w:rFonts w:hint="eastAsia"/>
          <w:sz w:val="24"/>
          <w:szCs w:val="24"/>
        </w:rPr>
        <w:t>本次</w:t>
      </w:r>
      <w:r w:rsidR="00D90956">
        <w:rPr>
          <w:rFonts w:hint="eastAsia"/>
          <w:sz w:val="24"/>
          <w:szCs w:val="24"/>
        </w:rPr>
        <w:t>预留</w:t>
      </w:r>
      <w:r>
        <w:rPr>
          <w:rFonts w:hint="eastAsia"/>
          <w:sz w:val="24"/>
          <w:szCs w:val="24"/>
        </w:rPr>
        <w:t>股票期权授予的激励对象为</w:t>
      </w:r>
      <w:r w:rsidR="00FF70B4">
        <w:rPr>
          <w:sz w:val="24"/>
          <w:szCs w:val="24"/>
        </w:rPr>
        <w:t>20</w:t>
      </w:r>
      <w:r>
        <w:rPr>
          <w:rFonts w:hint="eastAsia"/>
          <w:sz w:val="24"/>
          <w:szCs w:val="24"/>
        </w:rPr>
        <w:t>名，授予数量为</w:t>
      </w:r>
      <w:r w:rsidR="00D90956">
        <w:rPr>
          <w:sz w:val="24"/>
          <w:szCs w:val="24"/>
        </w:rPr>
        <w:t>60</w:t>
      </w:r>
      <w:r w:rsidR="006E48D1">
        <w:rPr>
          <w:sz w:val="24"/>
          <w:szCs w:val="24"/>
        </w:rPr>
        <w:t>.5</w:t>
      </w:r>
      <w:r w:rsidR="007D5CE7">
        <w:rPr>
          <w:sz w:val="24"/>
          <w:szCs w:val="24"/>
        </w:rPr>
        <w:t>0</w:t>
      </w:r>
      <w:r>
        <w:rPr>
          <w:rFonts w:hint="eastAsia"/>
          <w:sz w:val="24"/>
          <w:szCs w:val="24"/>
        </w:rPr>
        <w:t>万份。</w:t>
      </w:r>
    </w:p>
    <w:p w14:paraId="1A833683" w14:textId="3017D80E" w:rsidR="0071537A" w:rsidRDefault="00E91F81">
      <w:pPr>
        <w:widowControl/>
        <w:numPr>
          <w:ilvl w:val="0"/>
          <w:numId w:val="2"/>
        </w:numPr>
        <w:spacing w:line="360" w:lineRule="auto"/>
        <w:ind w:firstLineChars="200" w:firstLine="480"/>
        <w:rPr>
          <w:sz w:val="24"/>
          <w:szCs w:val="24"/>
        </w:rPr>
      </w:pPr>
      <w:r>
        <w:rPr>
          <w:rFonts w:hint="eastAsia"/>
          <w:sz w:val="24"/>
          <w:szCs w:val="24"/>
        </w:rPr>
        <w:t>股票期权</w:t>
      </w:r>
      <w:r w:rsidR="00261117">
        <w:rPr>
          <w:rFonts w:hint="eastAsia"/>
          <w:sz w:val="24"/>
          <w:szCs w:val="24"/>
        </w:rPr>
        <w:t>预留</w:t>
      </w:r>
      <w:r>
        <w:rPr>
          <w:rFonts w:hint="eastAsia"/>
          <w:sz w:val="24"/>
          <w:szCs w:val="24"/>
        </w:rPr>
        <w:t>授予登记完成日</w:t>
      </w:r>
      <w:r w:rsidRPr="00627CB7">
        <w:rPr>
          <w:rFonts w:hint="eastAsia"/>
          <w:sz w:val="24"/>
          <w:szCs w:val="24"/>
        </w:rPr>
        <w:t>：</w:t>
      </w:r>
      <w:r w:rsidR="00DF575C" w:rsidRPr="00627CB7">
        <w:rPr>
          <w:sz w:val="24"/>
          <w:szCs w:val="24"/>
        </w:rPr>
        <w:t>2022</w:t>
      </w:r>
      <w:r w:rsidRPr="00627CB7">
        <w:rPr>
          <w:rFonts w:hint="eastAsia"/>
          <w:sz w:val="24"/>
          <w:szCs w:val="24"/>
        </w:rPr>
        <w:t>年</w:t>
      </w:r>
      <w:r w:rsidR="00D90956" w:rsidRPr="00627CB7">
        <w:rPr>
          <w:sz w:val="24"/>
          <w:szCs w:val="24"/>
        </w:rPr>
        <w:t>11</w:t>
      </w:r>
      <w:r w:rsidRPr="00627CB7">
        <w:rPr>
          <w:rFonts w:hint="eastAsia"/>
          <w:sz w:val="24"/>
          <w:szCs w:val="24"/>
        </w:rPr>
        <w:t>月</w:t>
      </w:r>
      <w:r w:rsidR="006E7324">
        <w:rPr>
          <w:sz w:val="24"/>
          <w:szCs w:val="24"/>
        </w:rPr>
        <w:t>21</w:t>
      </w:r>
      <w:r w:rsidRPr="00627CB7">
        <w:rPr>
          <w:rFonts w:hint="eastAsia"/>
          <w:sz w:val="24"/>
          <w:szCs w:val="24"/>
        </w:rPr>
        <w:t>日</w:t>
      </w:r>
    </w:p>
    <w:p w14:paraId="36CF09C5" w14:textId="2ADE8E57" w:rsidR="0071537A" w:rsidRDefault="00E91F81">
      <w:pPr>
        <w:widowControl/>
        <w:spacing w:beforeLines="50" w:before="156" w:line="360" w:lineRule="auto"/>
        <w:ind w:firstLineChars="200" w:firstLine="480"/>
        <w:rPr>
          <w:rFonts w:ascii="宋体" w:hAnsi="宋体" w:cs="宋体"/>
          <w:sz w:val="24"/>
          <w:szCs w:val="24"/>
        </w:rPr>
      </w:pPr>
      <w:r>
        <w:rPr>
          <w:rFonts w:ascii="宋体" w:hAnsi="宋体" w:cs="宋体"/>
          <w:sz w:val="24"/>
          <w:szCs w:val="24"/>
        </w:rPr>
        <w:t>根据中国证券监督管理委员会《上市公司股权激励管理办法》、深圳证券交 易所、中国证券登记结算有限责任公司</w:t>
      </w:r>
      <w:r>
        <w:rPr>
          <w:rFonts w:ascii="宋体" w:hAnsi="宋体" w:cs="宋体" w:hint="eastAsia"/>
          <w:sz w:val="24"/>
          <w:szCs w:val="24"/>
        </w:rPr>
        <w:t>深圳</w:t>
      </w:r>
      <w:r>
        <w:rPr>
          <w:rFonts w:ascii="宋体" w:hAnsi="宋体" w:cs="宋体"/>
          <w:sz w:val="24"/>
          <w:szCs w:val="24"/>
        </w:rPr>
        <w:t>分公司有关规则的规定，</w:t>
      </w:r>
      <w:r w:rsidR="00DF575C">
        <w:rPr>
          <w:rFonts w:ascii="宋体" w:hAnsi="宋体" w:cs="宋体" w:hint="eastAsia"/>
          <w:sz w:val="24"/>
          <w:szCs w:val="24"/>
        </w:rPr>
        <w:t>厦门万里石</w:t>
      </w:r>
      <w:r>
        <w:rPr>
          <w:rFonts w:ascii="宋体" w:hAnsi="宋体" w:cs="宋体" w:hint="eastAsia"/>
          <w:sz w:val="24"/>
          <w:szCs w:val="24"/>
        </w:rPr>
        <w:t>股份有限公司</w:t>
      </w:r>
      <w:r>
        <w:rPr>
          <w:rFonts w:ascii="宋体" w:hAnsi="宋体" w:cs="宋体"/>
          <w:sz w:val="24"/>
          <w:szCs w:val="24"/>
        </w:rPr>
        <w:t>（以下简称“公司”）完成了</w:t>
      </w:r>
      <w:r w:rsidR="00DF575C">
        <w:rPr>
          <w:rFonts w:ascii="宋体" w:hAnsi="宋体" w:cs="宋体"/>
          <w:sz w:val="24"/>
          <w:szCs w:val="24"/>
        </w:rPr>
        <w:t>2022</w:t>
      </w:r>
      <w:r>
        <w:rPr>
          <w:rFonts w:ascii="宋体" w:hAnsi="宋体" w:cs="宋体"/>
          <w:sz w:val="24"/>
          <w:szCs w:val="24"/>
        </w:rPr>
        <w:t>年股票期权与限制性股票激励计划（以下简称“</w:t>
      </w:r>
      <w:r>
        <w:rPr>
          <w:rFonts w:ascii="宋体" w:hAnsi="宋体" w:cs="宋体" w:hint="eastAsia"/>
          <w:sz w:val="24"/>
          <w:szCs w:val="24"/>
        </w:rPr>
        <w:t>本</w:t>
      </w:r>
      <w:r>
        <w:rPr>
          <w:rFonts w:ascii="宋体" w:hAnsi="宋体" w:cs="宋体"/>
          <w:sz w:val="24"/>
          <w:szCs w:val="24"/>
        </w:rPr>
        <w:t>激励计划”）的</w:t>
      </w:r>
      <w:r w:rsidR="00D90956">
        <w:rPr>
          <w:rFonts w:ascii="宋体" w:hAnsi="宋体" w:cs="宋体" w:hint="eastAsia"/>
          <w:sz w:val="24"/>
          <w:szCs w:val="24"/>
        </w:rPr>
        <w:t>预留</w:t>
      </w:r>
      <w:r>
        <w:rPr>
          <w:rFonts w:ascii="宋体" w:hAnsi="宋体" w:cs="宋体"/>
          <w:sz w:val="24"/>
          <w:szCs w:val="24"/>
        </w:rPr>
        <w:t>股票期权的授予登记工作。期权代码</w:t>
      </w:r>
      <w:r>
        <w:rPr>
          <w:rFonts w:ascii="宋体" w:hAnsi="宋体" w:cs="宋体" w:hint="eastAsia"/>
          <w:sz w:val="24"/>
          <w:szCs w:val="24"/>
        </w:rPr>
        <w:t>：</w:t>
      </w:r>
      <w:r w:rsidR="00627CB7">
        <w:rPr>
          <w:rFonts w:ascii="宋体" w:hAnsi="宋体" w:cs="宋体"/>
          <w:sz w:val="24"/>
          <w:szCs w:val="24"/>
        </w:rPr>
        <w:t>037313</w:t>
      </w:r>
      <w:r>
        <w:rPr>
          <w:rFonts w:ascii="宋体" w:hAnsi="宋体" w:cs="宋体"/>
          <w:sz w:val="24"/>
          <w:szCs w:val="24"/>
        </w:rPr>
        <w:t>，</w:t>
      </w:r>
      <w:r w:rsidRPr="006E48D1">
        <w:rPr>
          <w:rFonts w:ascii="宋体" w:hAnsi="宋体" w:cs="宋体"/>
          <w:sz w:val="24"/>
          <w:szCs w:val="24"/>
        </w:rPr>
        <w:t>期权简称：</w:t>
      </w:r>
      <w:r w:rsidR="006E48D1" w:rsidRPr="006E48D1">
        <w:rPr>
          <w:rFonts w:ascii="宋体" w:hAnsi="宋体" w:cs="宋体" w:hint="eastAsia"/>
          <w:sz w:val="24"/>
          <w:szCs w:val="24"/>
        </w:rPr>
        <w:t>万里</w:t>
      </w:r>
      <w:r w:rsidRPr="006E48D1">
        <w:rPr>
          <w:rFonts w:ascii="宋体" w:hAnsi="宋体" w:cs="宋体"/>
          <w:sz w:val="24"/>
          <w:szCs w:val="24"/>
        </w:rPr>
        <w:t>JLC</w:t>
      </w:r>
      <w:r w:rsidR="00D90956">
        <w:rPr>
          <w:rFonts w:ascii="宋体" w:hAnsi="宋体" w:cs="宋体"/>
          <w:sz w:val="24"/>
          <w:szCs w:val="24"/>
        </w:rPr>
        <w:t>2</w:t>
      </w:r>
      <w:r w:rsidRPr="006E48D1">
        <w:rPr>
          <w:rFonts w:ascii="宋体" w:hAnsi="宋体" w:cs="宋体"/>
          <w:sz w:val="24"/>
          <w:szCs w:val="24"/>
        </w:rPr>
        <w:t>，</w:t>
      </w:r>
      <w:r>
        <w:rPr>
          <w:rFonts w:ascii="宋体" w:hAnsi="宋体" w:cs="宋体"/>
          <w:sz w:val="24"/>
          <w:szCs w:val="24"/>
        </w:rPr>
        <w:t>现将有关事项公告如下：</w:t>
      </w:r>
    </w:p>
    <w:p w14:paraId="3FB69DAA" w14:textId="77777777" w:rsidR="0071537A" w:rsidRDefault="00E91F81">
      <w:pPr>
        <w:widowControl/>
        <w:spacing w:beforeLines="50" w:before="156" w:line="360" w:lineRule="auto"/>
        <w:ind w:firstLineChars="200" w:firstLine="482"/>
        <w:rPr>
          <w:b/>
          <w:bCs/>
          <w:sz w:val="24"/>
          <w:szCs w:val="24"/>
        </w:rPr>
      </w:pPr>
      <w:r>
        <w:rPr>
          <w:rFonts w:hint="eastAsia"/>
          <w:b/>
          <w:bCs/>
          <w:sz w:val="24"/>
          <w:szCs w:val="24"/>
        </w:rPr>
        <w:t>一、本激励计划已履行的审批程序</w:t>
      </w:r>
    </w:p>
    <w:p w14:paraId="68355976" w14:textId="77777777" w:rsidR="00D90956" w:rsidRPr="00A40742" w:rsidRDefault="006E48D1" w:rsidP="00D90956">
      <w:pPr>
        <w:autoSpaceDE w:val="0"/>
        <w:autoSpaceDN w:val="0"/>
        <w:adjustRightInd w:val="0"/>
        <w:spacing w:line="360" w:lineRule="auto"/>
        <w:ind w:firstLineChars="200" w:firstLine="480"/>
        <w:rPr>
          <w:rFonts w:ascii="Times" w:eastAsiaTheme="minorEastAsia" w:hAnsi="Times"/>
          <w:sz w:val="24"/>
        </w:rPr>
      </w:pPr>
      <w:r w:rsidRPr="00B6485E">
        <w:rPr>
          <w:rFonts w:eastAsiaTheme="minorEastAsia" w:hint="eastAsia"/>
          <w:color w:val="000000" w:themeColor="text1"/>
          <w:sz w:val="24"/>
        </w:rPr>
        <w:t>1</w:t>
      </w:r>
      <w:r w:rsidRPr="00B6485E">
        <w:rPr>
          <w:rFonts w:eastAsiaTheme="minorEastAsia" w:hint="eastAsia"/>
          <w:color w:val="000000" w:themeColor="text1"/>
          <w:sz w:val="24"/>
        </w:rPr>
        <w:t>、</w:t>
      </w:r>
      <w:r w:rsidR="00D90956" w:rsidRPr="00A40742">
        <w:rPr>
          <w:rFonts w:ascii="Times" w:eastAsiaTheme="minorEastAsia" w:hAnsi="Times"/>
          <w:sz w:val="24"/>
        </w:rPr>
        <w:t>2022</w:t>
      </w:r>
      <w:r w:rsidR="00D90956" w:rsidRPr="00A40742">
        <w:rPr>
          <w:rFonts w:ascii="Times" w:eastAsiaTheme="minorEastAsia" w:hAnsi="Times"/>
          <w:sz w:val="24"/>
        </w:rPr>
        <w:t>年</w:t>
      </w:r>
      <w:r w:rsidR="00D90956" w:rsidRPr="00A40742">
        <w:rPr>
          <w:rFonts w:ascii="Times" w:eastAsiaTheme="minorEastAsia" w:hAnsi="Times"/>
          <w:sz w:val="24"/>
        </w:rPr>
        <w:t>3</w:t>
      </w:r>
      <w:r w:rsidR="00D90956" w:rsidRPr="00A40742">
        <w:rPr>
          <w:rFonts w:ascii="Times" w:eastAsiaTheme="minorEastAsia" w:hAnsi="Times"/>
          <w:sz w:val="24"/>
        </w:rPr>
        <w:t>月</w:t>
      </w:r>
      <w:r w:rsidR="00D90956" w:rsidRPr="00A40742">
        <w:rPr>
          <w:rFonts w:ascii="Times" w:eastAsiaTheme="minorEastAsia" w:hAnsi="Times"/>
          <w:sz w:val="24"/>
        </w:rPr>
        <w:t>31</w:t>
      </w:r>
      <w:r w:rsidR="00D90956" w:rsidRPr="00A40742">
        <w:rPr>
          <w:rFonts w:ascii="Times" w:eastAsiaTheme="minorEastAsia" w:hAnsi="Times"/>
          <w:sz w:val="24"/>
        </w:rPr>
        <w:t>日，公司召开第四届董事会第二十七次会议，审议通过了《关于</w:t>
      </w:r>
      <w:r w:rsidR="00D90956" w:rsidRPr="00A40742">
        <w:rPr>
          <w:rFonts w:ascii="Times" w:eastAsiaTheme="minorEastAsia" w:hAnsi="Times"/>
          <w:sz w:val="24"/>
        </w:rPr>
        <w:t>&lt;</w:t>
      </w:r>
      <w:r w:rsidR="00D90956" w:rsidRPr="00A40742">
        <w:rPr>
          <w:rFonts w:ascii="Times" w:eastAsiaTheme="minorEastAsia" w:hAnsi="Times"/>
          <w:sz w:val="24"/>
        </w:rPr>
        <w:t>公司</w:t>
      </w:r>
      <w:r w:rsidR="00D90956" w:rsidRPr="00A40742">
        <w:rPr>
          <w:rFonts w:ascii="Times" w:eastAsiaTheme="minorEastAsia" w:hAnsi="Times"/>
          <w:sz w:val="24"/>
        </w:rPr>
        <w:t>2022</w:t>
      </w:r>
      <w:r w:rsidR="00D90956" w:rsidRPr="00A40742">
        <w:rPr>
          <w:rFonts w:ascii="Times" w:eastAsiaTheme="minorEastAsia" w:hAnsi="Times"/>
          <w:sz w:val="24"/>
        </w:rPr>
        <w:t>年股票期权与限制性股票激励计划（草案）</w:t>
      </w:r>
      <w:r w:rsidR="00D90956" w:rsidRPr="00A40742">
        <w:rPr>
          <w:rFonts w:ascii="Times" w:eastAsiaTheme="minorEastAsia" w:hAnsi="Times"/>
          <w:sz w:val="24"/>
        </w:rPr>
        <w:t>&gt;</w:t>
      </w:r>
      <w:r w:rsidR="00D90956" w:rsidRPr="00A40742">
        <w:rPr>
          <w:rFonts w:ascii="Times" w:eastAsiaTheme="minorEastAsia" w:hAnsi="Times"/>
          <w:sz w:val="24"/>
        </w:rPr>
        <w:t>及其摘要的议案》、《关于</w:t>
      </w:r>
      <w:r w:rsidR="00D90956" w:rsidRPr="00A40742">
        <w:rPr>
          <w:rFonts w:ascii="Times" w:eastAsiaTheme="minorEastAsia" w:hAnsi="Times"/>
          <w:sz w:val="24"/>
        </w:rPr>
        <w:t>&lt;</w:t>
      </w:r>
      <w:r w:rsidR="00D90956" w:rsidRPr="00A40742">
        <w:rPr>
          <w:rFonts w:ascii="Times" w:eastAsiaTheme="minorEastAsia" w:hAnsi="Times"/>
          <w:sz w:val="24"/>
        </w:rPr>
        <w:t>公司</w:t>
      </w:r>
      <w:r w:rsidR="00D90956" w:rsidRPr="00A40742">
        <w:rPr>
          <w:rFonts w:ascii="Times" w:eastAsiaTheme="minorEastAsia" w:hAnsi="Times"/>
          <w:sz w:val="24"/>
        </w:rPr>
        <w:t>2022</w:t>
      </w:r>
      <w:r w:rsidR="00D90956" w:rsidRPr="00A40742">
        <w:rPr>
          <w:rFonts w:ascii="Times" w:eastAsiaTheme="minorEastAsia" w:hAnsi="Times"/>
          <w:sz w:val="24"/>
        </w:rPr>
        <w:t>年股票期权与限制性股票激励计划实施考核管理办法</w:t>
      </w:r>
      <w:r w:rsidR="00D90956" w:rsidRPr="00A40742">
        <w:rPr>
          <w:rFonts w:ascii="Times" w:eastAsiaTheme="minorEastAsia" w:hAnsi="Times"/>
          <w:sz w:val="24"/>
        </w:rPr>
        <w:t>&gt;</w:t>
      </w:r>
      <w:r w:rsidR="00D90956" w:rsidRPr="00A40742">
        <w:rPr>
          <w:rFonts w:ascii="Times" w:eastAsiaTheme="minorEastAsia" w:hAnsi="Times"/>
          <w:sz w:val="24"/>
        </w:rPr>
        <w:t>的议案》、《关于提请股东大会授权董事会办理股权激励相关事宜的议案》，公司独立董事发表了明确同意的独立意见。</w:t>
      </w:r>
    </w:p>
    <w:p w14:paraId="61B5FAED" w14:textId="77777777" w:rsidR="00D90956" w:rsidRPr="00A40742" w:rsidRDefault="00D90956" w:rsidP="00D90956">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2</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3</w:t>
      </w:r>
      <w:r w:rsidRPr="00A40742">
        <w:rPr>
          <w:rFonts w:ascii="Times" w:eastAsiaTheme="minorEastAsia" w:hAnsi="Times"/>
          <w:sz w:val="24"/>
        </w:rPr>
        <w:t>月</w:t>
      </w:r>
      <w:r w:rsidRPr="00A40742">
        <w:rPr>
          <w:rFonts w:ascii="Times" w:eastAsiaTheme="minorEastAsia" w:hAnsi="Times"/>
          <w:sz w:val="24"/>
        </w:rPr>
        <w:t>31</w:t>
      </w:r>
      <w:r w:rsidRPr="00A40742">
        <w:rPr>
          <w:rFonts w:ascii="Times" w:eastAsiaTheme="minorEastAsia" w:hAnsi="Times"/>
          <w:sz w:val="24"/>
        </w:rPr>
        <w:t>日，公司召开第四届监事会第二十二次会议，审议通过了《关于</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年股票期权与限制性股票激励计划（草案）</w:t>
      </w:r>
      <w:r w:rsidRPr="00A40742">
        <w:rPr>
          <w:rFonts w:ascii="Times" w:eastAsiaTheme="minorEastAsia" w:hAnsi="Times"/>
          <w:sz w:val="24"/>
        </w:rPr>
        <w:t>&gt;</w:t>
      </w:r>
      <w:r w:rsidRPr="00A40742">
        <w:rPr>
          <w:rFonts w:ascii="Times" w:eastAsiaTheme="minorEastAsia" w:hAnsi="Times"/>
          <w:sz w:val="24"/>
        </w:rPr>
        <w:t>及其摘要的议案》、《关于</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年股票期权与限制性股票激励计划实施考核管理办法</w:t>
      </w:r>
      <w:r w:rsidRPr="00A40742">
        <w:rPr>
          <w:rFonts w:ascii="Times" w:eastAsiaTheme="minorEastAsia" w:hAnsi="Times"/>
          <w:sz w:val="24"/>
        </w:rPr>
        <w:t>&gt;</w:t>
      </w:r>
      <w:r w:rsidRPr="00A40742">
        <w:rPr>
          <w:rFonts w:ascii="Times" w:eastAsiaTheme="minorEastAsia" w:hAnsi="Times"/>
          <w:sz w:val="24"/>
        </w:rPr>
        <w:t>的议案》、</w:t>
      </w:r>
      <w:r w:rsidRPr="00A40742">
        <w:rPr>
          <w:rFonts w:ascii="Times" w:eastAsiaTheme="minorEastAsia" w:hAnsi="Times"/>
          <w:sz w:val="24"/>
        </w:rPr>
        <w:lastRenderedPageBreak/>
        <w:t>《关于核实</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年股票期权与限制性股票激励计划首次授予部分激励对象名单</w:t>
      </w:r>
      <w:r w:rsidRPr="00A40742">
        <w:rPr>
          <w:rFonts w:ascii="Times" w:eastAsiaTheme="minorEastAsia" w:hAnsi="Times"/>
          <w:sz w:val="24"/>
        </w:rPr>
        <w:t>&gt;</w:t>
      </w:r>
      <w:r w:rsidRPr="00A40742">
        <w:rPr>
          <w:rFonts w:ascii="Times" w:eastAsiaTheme="minorEastAsia" w:hAnsi="Times"/>
          <w:sz w:val="24"/>
        </w:rPr>
        <w:t>的议案》。</w:t>
      </w:r>
    </w:p>
    <w:p w14:paraId="1D6847FE" w14:textId="77777777" w:rsidR="00D90956" w:rsidRPr="00A40742" w:rsidRDefault="00D90956" w:rsidP="00D90956">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3</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4</w:t>
      </w:r>
      <w:r w:rsidRPr="00A40742">
        <w:rPr>
          <w:rFonts w:ascii="Times" w:eastAsiaTheme="minorEastAsia" w:hAnsi="Times"/>
          <w:sz w:val="24"/>
        </w:rPr>
        <w:t>月</w:t>
      </w:r>
      <w:r w:rsidRPr="00A40742">
        <w:rPr>
          <w:rFonts w:ascii="Times" w:eastAsiaTheme="minorEastAsia" w:hAnsi="Times"/>
          <w:sz w:val="24"/>
        </w:rPr>
        <w:t>20</w:t>
      </w:r>
      <w:r w:rsidRPr="00A40742">
        <w:rPr>
          <w:rFonts w:ascii="Times" w:eastAsiaTheme="minorEastAsia" w:hAnsi="Times"/>
          <w:sz w:val="24"/>
        </w:rPr>
        <w:t>日至</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4</w:t>
      </w:r>
      <w:r w:rsidRPr="00A40742">
        <w:rPr>
          <w:rFonts w:ascii="Times" w:eastAsiaTheme="minorEastAsia" w:hAnsi="Times"/>
          <w:sz w:val="24"/>
        </w:rPr>
        <w:t>月</w:t>
      </w:r>
      <w:r w:rsidRPr="00A40742">
        <w:rPr>
          <w:rFonts w:ascii="Times" w:eastAsiaTheme="minorEastAsia" w:hAnsi="Times"/>
          <w:sz w:val="24"/>
        </w:rPr>
        <w:t>30</w:t>
      </w:r>
      <w:r w:rsidRPr="00A40742">
        <w:rPr>
          <w:rFonts w:ascii="Times" w:eastAsiaTheme="minorEastAsia" w:hAnsi="Times"/>
          <w:sz w:val="24"/>
        </w:rPr>
        <w:t>日，公司对首次授予激励对象的姓名和职务在公司企业</w:t>
      </w:r>
      <w:proofErr w:type="gramStart"/>
      <w:r w:rsidRPr="00A40742">
        <w:rPr>
          <w:rFonts w:ascii="Times" w:eastAsiaTheme="minorEastAsia" w:hAnsi="Times"/>
          <w:sz w:val="24"/>
        </w:rPr>
        <w:t>微信公众号</w:t>
      </w:r>
      <w:proofErr w:type="gramEnd"/>
      <w:r w:rsidRPr="00A40742">
        <w:rPr>
          <w:rFonts w:ascii="Times" w:eastAsiaTheme="minorEastAsia" w:hAnsi="Times"/>
          <w:sz w:val="24"/>
        </w:rPr>
        <w:t>进行了公示，截至公示期满，公司监事会未收到与本激励计划激励对象有关的任何异议。</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5</w:t>
      </w:r>
      <w:r w:rsidRPr="00A40742">
        <w:rPr>
          <w:rFonts w:ascii="Times" w:eastAsiaTheme="minorEastAsia" w:hAnsi="Times"/>
          <w:sz w:val="24"/>
        </w:rPr>
        <w:t>月</w:t>
      </w:r>
      <w:r w:rsidRPr="00A40742">
        <w:rPr>
          <w:rFonts w:ascii="Times" w:eastAsiaTheme="minorEastAsia" w:hAnsi="Times"/>
          <w:sz w:val="24"/>
        </w:rPr>
        <w:t>6</w:t>
      </w:r>
      <w:r w:rsidRPr="00A40742">
        <w:rPr>
          <w:rFonts w:ascii="Times" w:eastAsiaTheme="minorEastAsia" w:hAnsi="Times"/>
          <w:sz w:val="24"/>
        </w:rPr>
        <w:t>日，公司披露了《监事会关于公司</w:t>
      </w:r>
      <w:r w:rsidRPr="00A40742">
        <w:rPr>
          <w:rFonts w:ascii="Times" w:eastAsiaTheme="minorEastAsia" w:hAnsi="Times"/>
          <w:sz w:val="24"/>
        </w:rPr>
        <w:t>2022</w:t>
      </w:r>
      <w:r w:rsidRPr="00A40742">
        <w:rPr>
          <w:rFonts w:ascii="Times" w:eastAsiaTheme="minorEastAsia" w:hAnsi="Times"/>
          <w:sz w:val="24"/>
        </w:rPr>
        <w:t>年股票期权与限制性股票激励计划首次授予激励对象名单的审核意见及公示情况说明》。</w:t>
      </w:r>
    </w:p>
    <w:p w14:paraId="449E9259" w14:textId="77777777" w:rsidR="00D90956" w:rsidRPr="00A40742" w:rsidRDefault="00D90956" w:rsidP="00D90956">
      <w:pPr>
        <w:spacing w:line="360" w:lineRule="auto"/>
        <w:ind w:firstLineChars="200" w:firstLine="480"/>
        <w:rPr>
          <w:rFonts w:ascii="Times" w:eastAsiaTheme="minorEastAsia" w:hAnsi="Times"/>
          <w:sz w:val="24"/>
        </w:rPr>
      </w:pPr>
      <w:r w:rsidRPr="00A40742">
        <w:rPr>
          <w:rFonts w:ascii="Times" w:eastAsiaTheme="minorEastAsia" w:hAnsi="Times"/>
          <w:sz w:val="24"/>
        </w:rPr>
        <w:t>4</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5</w:t>
      </w:r>
      <w:r w:rsidRPr="00A40742">
        <w:rPr>
          <w:rFonts w:ascii="Times" w:eastAsiaTheme="minorEastAsia" w:hAnsi="Times"/>
          <w:sz w:val="24"/>
        </w:rPr>
        <w:t>月</w:t>
      </w:r>
      <w:r w:rsidRPr="00A40742">
        <w:rPr>
          <w:rFonts w:ascii="Times" w:eastAsiaTheme="minorEastAsia" w:hAnsi="Times"/>
          <w:sz w:val="24"/>
        </w:rPr>
        <w:t>11</w:t>
      </w:r>
      <w:r w:rsidRPr="00A40742">
        <w:rPr>
          <w:rFonts w:ascii="Times" w:eastAsiaTheme="minorEastAsia" w:hAnsi="Times"/>
          <w:sz w:val="24"/>
        </w:rPr>
        <w:t>日，公司召开</w:t>
      </w:r>
      <w:r w:rsidRPr="00A40742">
        <w:rPr>
          <w:rFonts w:ascii="Times" w:eastAsiaTheme="minorEastAsia" w:hAnsi="Times"/>
          <w:sz w:val="24"/>
        </w:rPr>
        <w:t>2021</w:t>
      </w:r>
      <w:r w:rsidRPr="00A40742">
        <w:rPr>
          <w:rFonts w:ascii="Times" w:eastAsiaTheme="minorEastAsia" w:hAnsi="Times"/>
          <w:sz w:val="24"/>
        </w:rPr>
        <w:t>年年度股东大会，审议通过了《关于</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年股票期权及限制性股票激励计划（草案）</w:t>
      </w:r>
      <w:r w:rsidRPr="00A40742">
        <w:rPr>
          <w:rFonts w:ascii="Times" w:eastAsiaTheme="minorEastAsia" w:hAnsi="Times"/>
          <w:sz w:val="24"/>
        </w:rPr>
        <w:t>&gt;</w:t>
      </w:r>
      <w:r w:rsidRPr="00A40742">
        <w:rPr>
          <w:rFonts w:ascii="Times" w:eastAsiaTheme="minorEastAsia" w:hAnsi="Times"/>
          <w:sz w:val="24"/>
        </w:rPr>
        <w:t>及其摘要的议案》、《关于</w:t>
      </w:r>
      <w:r w:rsidRPr="00A40742">
        <w:rPr>
          <w:rFonts w:ascii="Times" w:eastAsiaTheme="minorEastAsia" w:hAnsi="Times"/>
          <w:sz w:val="24"/>
        </w:rPr>
        <w:t>&lt;</w:t>
      </w:r>
      <w:r w:rsidRPr="00A40742">
        <w:rPr>
          <w:rFonts w:ascii="Times" w:eastAsiaTheme="minorEastAsia" w:hAnsi="Times"/>
          <w:sz w:val="24"/>
        </w:rPr>
        <w:t>公司</w:t>
      </w:r>
      <w:r w:rsidRPr="00A40742">
        <w:rPr>
          <w:rFonts w:ascii="Times" w:eastAsiaTheme="minorEastAsia" w:hAnsi="Times"/>
          <w:sz w:val="24"/>
        </w:rPr>
        <w:t>2022</w:t>
      </w:r>
      <w:r w:rsidRPr="00A40742">
        <w:rPr>
          <w:rFonts w:ascii="Times" w:eastAsiaTheme="minorEastAsia" w:hAnsi="Times"/>
          <w:sz w:val="24"/>
        </w:rPr>
        <w:t>年股票期权及限制性股票激励计划实施考核管理办法</w:t>
      </w:r>
      <w:r w:rsidRPr="00A40742">
        <w:rPr>
          <w:rFonts w:ascii="Times" w:eastAsiaTheme="minorEastAsia" w:hAnsi="Times"/>
          <w:sz w:val="24"/>
        </w:rPr>
        <w:t>&gt;</w:t>
      </w:r>
      <w:r w:rsidRPr="00A40742">
        <w:rPr>
          <w:rFonts w:ascii="Times" w:eastAsiaTheme="minorEastAsia" w:hAnsi="Times"/>
          <w:sz w:val="24"/>
        </w:rPr>
        <w:t>的议案》、《关于提请股东大会授权董事会办理股权激励相关事宜的议案》。公司对内幕知情人</w:t>
      </w:r>
      <w:proofErr w:type="gramStart"/>
      <w:r w:rsidRPr="00A40742">
        <w:rPr>
          <w:rFonts w:ascii="Times" w:eastAsiaTheme="minorEastAsia" w:hAnsi="Times"/>
          <w:sz w:val="24"/>
        </w:rPr>
        <w:t>及首次</w:t>
      </w:r>
      <w:proofErr w:type="gramEnd"/>
      <w:r w:rsidRPr="00A40742">
        <w:rPr>
          <w:rFonts w:ascii="Times" w:eastAsiaTheme="minorEastAsia" w:hAnsi="Times"/>
          <w:sz w:val="24"/>
        </w:rPr>
        <w:t>授予激励对象在自查期间买卖公司股票情况进行了核查，并披露了《公司关于</w:t>
      </w:r>
      <w:r w:rsidRPr="00A40742">
        <w:rPr>
          <w:rFonts w:ascii="Times" w:eastAsiaTheme="minorEastAsia" w:hAnsi="Times"/>
          <w:sz w:val="24"/>
        </w:rPr>
        <w:t>2022</w:t>
      </w:r>
      <w:r w:rsidRPr="00A40742">
        <w:rPr>
          <w:rFonts w:ascii="Times" w:eastAsiaTheme="minorEastAsia" w:hAnsi="Times"/>
          <w:sz w:val="24"/>
        </w:rPr>
        <w:t>年股票期权与限制性股票激励计划内幕信息知情人及激励对象买卖公司股票情况的自查报告》。</w:t>
      </w:r>
    </w:p>
    <w:p w14:paraId="12612738" w14:textId="77777777" w:rsidR="00D90956" w:rsidRDefault="00D90956" w:rsidP="00D90956">
      <w:pPr>
        <w:spacing w:line="360" w:lineRule="auto"/>
        <w:ind w:firstLineChars="200" w:firstLine="480"/>
        <w:rPr>
          <w:rFonts w:ascii="Times" w:eastAsiaTheme="minorEastAsia" w:hAnsi="Times"/>
          <w:sz w:val="24"/>
        </w:rPr>
      </w:pPr>
      <w:r w:rsidRPr="00A40742">
        <w:rPr>
          <w:rFonts w:ascii="Times" w:eastAsiaTheme="minorEastAsia" w:hAnsi="Times"/>
          <w:sz w:val="24"/>
        </w:rPr>
        <w:t>5</w:t>
      </w:r>
      <w:r w:rsidRPr="00A40742">
        <w:rPr>
          <w:rFonts w:ascii="Times" w:eastAsiaTheme="minorEastAsia" w:hAnsi="Times"/>
          <w:sz w:val="24"/>
        </w:rPr>
        <w:t>、</w:t>
      </w:r>
      <w:r w:rsidRPr="00A40742">
        <w:rPr>
          <w:rFonts w:ascii="Times" w:eastAsiaTheme="minorEastAsia" w:hAnsi="Times"/>
          <w:sz w:val="24"/>
        </w:rPr>
        <w:t>2022</w:t>
      </w:r>
      <w:r w:rsidRPr="00A40742">
        <w:rPr>
          <w:rFonts w:ascii="Times" w:eastAsiaTheme="minorEastAsia" w:hAnsi="Times"/>
          <w:sz w:val="24"/>
        </w:rPr>
        <w:t>年</w:t>
      </w:r>
      <w:r w:rsidRPr="00A40742">
        <w:rPr>
          <w:rFonts w:ascii="Times" w:eastAsiaTheme="minorEastAsia" w:hAnsi="Times"/>
          <w:sz w:val="24"/>
        </w:rPr>
        <w:t>5</w:t>
      </w:r>
      <w:r w:rsidRPr="00A40742">
        <w:rPr>
          <w:rFonts w:ascii="Times" w:eastAsiaTheme="minorEastAsia" w:hAnsi="Times"/>
          <w:sz w:val="24"/>
        </w:rPr>
        <w:t>月</w:t>
      </w:r>
      <w:r w:rsidRPr="00A40742">
        <w:rPr>
          <w:rFonts w:ascii="Times" w:eastAsiaTheme="minorEastAsia" w:hAnsi="Times"/>
          <w:sz w:val="24"/>
        </w:rPr>
        <w:t>11</w:t>
      </w:r>
      <w:r w:rsidRPr="00A40742">
        <w:rPr>
          <w:rFonts w:ascii="Times" w:eastAsiaTheme="minorEastAsia" w:hAnsi="Times"/>
          <w:sz w:val="24"/>
        </w:rPr>
        <w:t>日，公司召开了第四届董事会第三十次会议和第四届监事会第二十五次会议，分别审议通过了《关于向激励对象首次授予股票期权与限制性股票的议案》。公司独立董事对相关事项发表了明确同意的独立意见，监事会发表了相关核查意见，律师事务所出具了法律意见书。</w:t>
      </w:r>
    </w:p>
    <w:p w14:paraId="342A3C60" w14:textId="77777777" w:rsidR="00D90956" w:rsidRDefault="00D90956" w:rsidP="00D90956">
      <w:pPr>
        <w:spacing w:line="360" w:lineRule="auto"/>
        <w:ind w:firstLineChars="200" w:firstLine="480"/>
        <w:rPr>
          <w:rFonts w:ascii="Times" w:eastAsiaTheme="minorEastAsia" w:hAnsi="Times"/>
          <w:sz w:val="24"/>
        </w:rPr>
      </w:pPr>
      <w:r>
        <w:rPr>
          <w:rFonts w:ascii="Times" w:eastAsiaTheme="minorEastAsia" w:hAnsi="Times" w:hint="eastAsia"/>
          <w:sz w:val="24"/>
        </w:rPr>
        <w:t>6</w:t>
      </w:r>
      <w:r>
        <w:rPr>
          <w:rFonts w:ascii="Times" w:eastAsiaTheme="minorEastAsia" w:hAnsi="Times" w:hint="eastAsia"/>
          <w:sz w:val="24"/>
        </w:rPr>
        <w:t>、</w:t>
      </w:r>
      <w:r>
        <w:rPr>
          <w:rFonts w:ascii="Times" w:eastAsiaTheme="minorEastAsia" w:hAnsi="Times" w:hint="eastAsia"/>
          <w:sz w:val="24"/>
        </w:rPr>
        <w:t>2</w:t>
      </w:r>
      <w:r>
        <w:rPr>
          <w:rFonts w:ascii="Times" w:eastAsiaTheme="minorEastAsia" w:hAnsi="Times"/>
          <w:sz w:val="24"/>
        </w:rPr>
        <w:t>022</w:t>
      </w:r>
      <w:r>
        <w:rPr>
          <w:rFonts w:ascii="Times" w:eastAsiaTheme="minorEastAsia" w:hAnsi="Times" w:hint="eastAsia"/>
          <w:sz w:val="24"/>
        </w:rPr>
        <w:t>年</w:t>
      </w:r>
      <w:r>
        <w:rPr>
          <w:rFonts w:ascii="Times" w:eastAsiaTheme="minorEastAsia" w:hAnsi="Times" w:hint="eastAsia"/>
          <w:sz w:val="24"/>
        </w:rPr>
        <w:t>6</w:t>
      </w:r>
      <w:r>
        <w:rPr>
          <w:rFonts w:ascii="Times" w:eastAsiaTheme="minorEastAsia" w:hAnsi="Times" w:hint="eastAsia"/>
          <w:sz w:val="24"/>
        </w:rPr>
        <w:t>月</w:t>
      </w:r>
      <w:r>
        <w:rPr>
          <w:rFonts w:ascii="Times" w:eastAsiaTheme="minorEastAsia" w:hAnsi="Times" w:hint="eastAsia"/>
          <w:sz w:val="24"/>
        </w:rPr>
        <w:t>1</w:t>
      </w:r>
      <w:r>
        <w:rPr>
          <w:rFonts w:ascii="Times" w:eastAsiaTheme="minorEastAsia" w:hAnsi="Times"/>
          <w:sz w:val="24"/>
        </w:rPr>
        <w:t>3</w:t>
      </w:r>
      <w:r>
        <w:rPr>
          <w:rFonts w:ascii="Times" w:eastAsiaTheme="minorEastAsia" w:hAnsi="Times" w:hint="eastAsia"/>
          <w:sz w:val="24"/>
        </w:rPr>
        <w:t>日，公司完成了股票期权的首次授予登记工作，向</w:t>
      </w:r>
      <w:r>
        <w:rPr>
          <w:rFonts w:ascii="Times" w:eastAsiaTheme="minorEastAsia" w:hAnsi="Times" w:hint="eastAsia"/>
          <w:sz w:val="24"/>
        </w:rPr>
        <w:t>8</w:t>
      </w:r>
      <w:r>
        <w:rPr>
          <w:rFonts w:ascii="Times" w:eastAsiaTheme="minorEastAsia" w:hAnsi="Times"/>
          <w:sz w:val="24"/>
        </w:rPr>
        <w:t>5</w:t>
      </w:r>
      <w:r>
        <w:rPr>
          <w:rFonts w:ascii="Times" w:eastAsiaTheme="minorEastAsia" w:hAnsi="Times" w:hint="eastAsia"/>
          <w:sz w:val="24"/>
        </w:rPr>
        <w:t>名激励对象首次授予</w:t>
      </w:r>
      <w:r w:rsidRPr="00A80F9A">
        <w:rPr>
          <w:rFonts w:ascii="Times" w:eastAsiaTheme="minorEastAsia" w:hAnsi="Times" w:hint="eastAsia"/>
          <w:sz w:val="24"/>
        </w:rPr>
        <w:t>422.50</w:t>
      </w:r>
      <w:r w:rsidRPr="00A80F9A">
        <w:rPr>
          <w:rFonts w:ascii="Times" w:eastAsiaTheme="minorEastAsia" w:hAnsi="Times" w:hint="eastAsia"/>
          <w:sz w:val="24"/>
        </w:rPr>
        <w:t>万份</w:t>
      </w:r>
      <w:r>
        <w:rPr>
          <w:rFonts w:ascii="Times" w:eastAsiaTheme="minorEastAsia" w:hAnsi="Times" w:hint="eastAsia"/>
          <w:sz w:val="24"/>
        </w:rPr>
        <w:t>股票期权。同日，公司完成了限制性股票的授予登记工作，向</w:t>
      </w:r>
      <w:r>
        <w:rPr>
          <w:rFonts w:ascii="Times" w:eastAsiaTheme="minorEastAsia" w:hAnsi="Times" w:hint="eastAsia"/>
          <w:sz w:val="24"/>
        </w:rPr>
        <w:t>8</w:t>
      </w:r>
      <w:r>
        <w:rPr>
          <w:rFonts w:ascii="Times" w:eastAsiaTheme="minorEastAsia" w:hAnsi="Times" w:hint="eastAsia"/>
          <w:sz w:val="24"/>
        </w:rPr>
        <w:t>名激励对象授予</w:t>
      </w:r>
      <w:r w:rsidRPr="00A80F9A">
        <w:rPr>
          <w:rFonts w:ascii="Times" w:eastAsiaTheme="minorEastAsia" w:hAnsi="Times"/>
          <w:sz w:val="24"/>
        </w:rPr>
        <w:t>115.00</w:t>
      </w:r>
      <w:r>
        <w:rPr>
          <w:rFonts w:ascii="Times" w:eastAsiaTheme="minorEastAsia" w:hAnsi="Times" w:hint="eastAsia"/>
          <w:sz w:val="24"/>
        </w:rPr>
        <w:t>万股限制性股票。具体内容详见公司</w:t>
      </w:r>
      <w:r>
        <w:rPr>
          <w:rFonts w:ascii="Times" w:eastAsiaTheme="minorEastAsia" w:hAnsi="Times" w:hint="eastAsia"/>
          <w:sz w:val="24"/>
        </w:rPr>
        <w:t>2</w:t>
      </w:r>
      <w:r>
        <w:rPr>
          <w:rFonts w:ascii="Times" w:eastAsiaTheme="minorEastAsia" w:hAnsi="Times"/>
          <w:sz w:val="24"/>
        </w:rPr>
        <w:t>022</w:t>
      </w:r>
      <w:r>
        <w:rPr>
          <w:rFonts w:ascii="Times" w:eastAsiaTheme="minorEastAsia" w:hAnsi="Times" w:hint="eastAsia"/>
          <w:sz w:val="24"/>
        </w:rPr>
        <w:t>年</w:t>
      </w:r>
      <w:r>
        <w:rPr>
          <w:rFonts w:ascii="Times" w:eastAsiaTheme="minorEastAsia" w:hAnsi="Times" w:hint="eastAsia"/>
          <w:sz w:val="24"/>
        </w:rPr>
        <w:t>6</w:t>
      </w:r>
      <w:r>
        <w:rPr>
          <w:rFonts w:ascii="Times" w:eastAsiaTheme="minorEastAsia" w:hAnsi="Times" w:hint="eastAsia"/>
          <w:sz w:val="24"/>
        </w:rPr>
        <w:t>月</w:t>
      </w:r>
      <w:r>
        <w:rPr>
          <w:rFonts w:ascii="Times" w:eastAsiaTheme="minorEastAsia" w:hAnsi="Times" w:hint="eastAsia"/>
          <w:sz w:val="24"/>
        </w:rPr>
        <w:t>1</w:t>
      </w:r>
      <w:r>
        <w:rPr>
          <w:rFonts w:ascii="Times" w:eastAsiaTheme="minorEastAsia" w:hAnsi="Times"/>
          <w:sz w:val="24"/>
        </w:rPr>
        <w:t>0</w:t>
      </w:r>
      <w:r>
        <w:rPr>
          <w:rFonts w:ascii="Times" w:eastAsiaTheme="minorEastAsia" w:hAnsi="Times" w:hint="eastAsia"/>
          <w:sz w:val="24"/>
        </w:rPr>
        <w:t>日在巨潮资讯网披露的《</w:t>
      </w:r>
      <w:r w:rsidRPr="006768EF">
        <w:rPr>
          <w:rFonts w:ascii="Times" w:eastAsiaTheme="minorEastAsia" w:hAnsi="Times" w:hint="eastAsia"/>
          <w:sz w:val="24"/>
        </w:rPr>
        <w:t>关于公司</w:t>
      </w:r>
      <w:r w:rsidRPr="006768EF">
        <w:rPr>
          <w:rFonts w:ascii="Times" w:eastAsiaTheme="minorEastAsia" w:hAnsi="Times" w:hint="eastAsia"/>
          <w:sz w:val="24"/>
        </w:rPr>
        <w:t>2022</w:t>
      </w:r>
      <w:r w:rsidRPr="006768EF">
        <w:rPr>
          <w:rFonts w:ascii="Times" w:eastAsiaTheme="minorEastAsia" w:hAnsi="Times" w:hint="eastAsia"/>
          <w:sz w:val="24"/>
        </w:rPr>
        <w:t>年股票期权与限制性股票激励计划之股票期权首次授予完成的公告</w:t>
      </w:r>
      <w:r>
        <w:rPr>
          <w:rFonts w:ascii="Times" w:eastAsiaTheme="minorEastAsia" w:hAnsi="Times" w:hint="eastAsia"/>
          <w:sz w:val="24"/>
        </w:rPr>
        <w:t>》及《</w:t>
      </w:r>
      <w:r w:rsidRPr="00BF5241">
        <w:rPr>
          <w:rFonts w:ascii="Times" w:eastAsiaTheme="minorEastAsia" w:hAnsi="Times" w:hint="eastAsia"/>
          <w:sz w:val="24"/>
        </w:rPr>
        <w:t>关于公司</w:t>
      </w:r>
      <w:r w:rsidRPr="00BF5241">
        <w:rPr>
          <w:rFonts w:ascii="Times" w:eastAsiaTheme="minorEastAsia" w:hAnsi="Times" w:hint="eastAsia"/>
          <w:sz w:val="24"/>
        </w:rPr>
        <w:t>2022</w:t>
      </w:r>
      <w:r w:rsidRPr="00BF5241">
        <w:rPr>
          <w:rFonts w:ascii="Times" w:eastAsiaTheme="minorEastAsia" w:hAnsi="Times" w:hint="eastAsia"/>
          <w:sz w:val="24"/>
        </w:rPr>
        <w:t>年股票期权与限制性股票激励计划之限制性股票授予完成的公告</w:t>
      </w:r>
      <w:r>
        <w:rPr>
          <w:rFonts w:ascii="Times" w:eastAsiaTheme="minorEastAsia" w:hAnsi="Times" w:hint="eastAsia"/>
          <w:sz w:val="24"/>
        </w:rPr>
        <w:t>》。</w:t>
      </w:r>
    </w:p>
    <w:p w14:paraId="4D0AA865" w14:textId="535B0F15" w:rsidR="0071537A" w:rsidRDefault="00D90956" w:rsidP="00D90956">
      <w:pPr>
        <w:snapToGrid w:val="0"/>
        <w:spacing w:line="360" w:lineRule="auto"/>
        <w:ind w:firstLineChars="200" w:firstLine="480"/>
        <w:rPr>
          <w:rFonts w:eastAsiaTheme="minorEastAsia"/>
          <w:color w:val="000000" w:themeColor="text1"/>
          <w:sz w:val="24"/>
        </w:rPr>
      </w:pPr>
      <w:r>
        <w:rPr>
          <w:rFonts w:ascii="Times" w:eastAsiaTheme="minorEastAsia" w:hAnsi="Times"/>
          <w:sz w:val="24"/>
        </w:rPr>
        <w:t>7</w:t>
      </w:r>
      <w:r>
        <w:rPr>
          <w:rFonts w:ascii="Times" w:eastAsiaTheme="minorEastAsia" w:hAnsi="Times" w:hint="eastAsia"/>
          <w:sz w:val="24"/>
        </w:rPr>
        <w:t>、</w:t>
      </w:r>
      <w:r w:rsidRPr="00A40742">
        <w:rPr>
          <w:rFonts w:ascii="Times" w:eastAsiaTheme="minorEastAsia" w:hAnsi="Times"/>
          <w:sz w:val="24"/>
        </w:rPr>
        <w:t>2022</w:t>
      </w:r>
      <w:r w:rsidRPr="00A40742">
        <w:rPr>
          <w:rFonts w:ascii="Times" w:eastAsiaTheme="minorEastAsia" w:hAnsi="Times"/>
          <w:sz w:val="24"/>
        </w:rPr>
        <w:t>年</w:t>
      </w:r>
      <w:r>
        <w:rPr>
          <w:rFonts w:ascii="Times" w:eastAsiaTheme="minorEastAsia" w:hAnsi="Times"/>
          <w:sz w:val="24"/>
        </w:rPr>
        <w:t>10</w:t>
      </w:r>
      <w:r w:rsidRPr="00A40742">
        <w:rPr>
          <w:rFonts w:ascii="Times" w:eastAsiaTheme="minorEastAsia" w:hAnsi="Times"/>
          <w:sz w:val="24"/>
        </w:rPr>
        <w:t>月</w:t>
      </w:r>
      <w:r>
        <w:rPr>
          <w:rFonts w:ascii="Times" w:eastAsiaTheme="minorEastAsia" w:hAnsi="Times"/>
          <w:sz w:val="24"/>
        </w:rPr>
        <w:t>28</w:t>
      </w:r>
      <w:r w:rsidRPr="00A40742">
        <w:rPr>
          <w:rFonts w:ascii="Times" w:eastAsiaTheme="minorEastAsia" w:hAnsi="Times"/>
          <w:sz w:val="24"/>
        </w:rPr>
        <w:t>日，公司召开了第四届董事会第三十</w:t>
      </w:r>
      <w:r>
        <w:rPr>
          <w:rFonts w:ascii="Times" w:eastAsiaTheme="minorEastAsia" w:hAnsi="Times" w:hint="eastAsia"/>
          <w:sz w:val="24"/>
        </w:rPr>
        <w:t>六</w:t>
      </w:r>
      <w:r w:rsidRPr="00A40742">
        <w:rPr>
          <w:rFonts w:ascii="Times" w:eastAsiaTheme="minorEastAsia" w:hAnsi="Times"/>
          <w:sz w:val="24"/>
        </w:rPr>
        <w:t>次会议和第四届监事会第二十</w:t>
      </w:r>
      <w:r>
        <w:rPr>
          <w:rFonts w:ascii="Times" w:eastAsiaTheme="minorEastAsia" w:hAnsi="Times" w:hint="eastAsia"/>
          <w:sz w:val="24"/>
        </w:rPr>
        <w:t>九</w:t>
      </w:r>
      <w:r w:rsidRPr="00A40742">
        <w:rPr>
          <w:rFonts w:ascii="Times" w:eastAsiaTheme="minorEastAsia" w:hAnsi="Times"/>
          <w:sz w:val="24"/>
        </w:rPr>
        <w:t>次会议，分别审议通过了《关于向激励对象授予</w:t>
      </w:r>
      <w:r>
        <w:rPr>
          <w:rFonts w:ascii="Times" w:eastAsiaTheme="minorEastAsia" w:hAnsi="Times" w:hint="eastAsia"/>
          <w:sz w:val="24"/>
        </w:rPr>
        <w:t>预留</w:t>
      </w:r>
      <w:r w:rsidRPr="00A40742">
        <w:rPr>
          <w:rFonts w:ascii="Times" w:eastAsiaTheme="minorEastAsia" w:hAnsi="Times"/>
          <w:sz w:val="24"/>
        </w:rPr>
        <w:t>股票期权议案》。公司独立董事对相关事项发表了明确同意的独立意见，</w:t>
      </w:r>
      <w:r w:rsidRPr="0038513D">
        <w:rPr>
          <w:rFonts w:ascii="Times" w:eastAsiaTheme="minorEastAsia" w:hAnsi="Times"/>
          <w:sz w:val="24"/>
        </w:rPr>
        <w:t>监事会发表了相关核查意见，</w:t>
      </w:r>
      <w:r w:rsidRPr="0038513D">
        <w:rPr>
          <w:rFonts w:ascii="Times" w:eastAsiaTheme="minorEastAsia" w:hAnsi="Times" w:hint="eastAsia"/>
          <w:sz w:val="24"/>
        </w:rPr>
        <w:t>公司聘请的独立财务顾问出具了独立财务顾问报告，</w:t>
      </w:r>
      <w:r w:rsidRPr="0038513D">
        <w:rPr>
          <w:rFonts w:ascii="Times" w:eastAsiaTheme="minorEastAsia" w:hAnsi="Times"/>
          <w:sz w:val="24"/>
        </w:rPr>
        <w:t>律师事务所出具了法律意见书</w:t>
      </w:r>
      <w:r w:rsidR="006E48D1">
        <w:rPr>
          <w:rFonts w:eastAsiaTheme="minorEastAsia" w:hint="eastAsia"/>
          <w:color w:val="000000" w:themeColor="text1"/>
          <w:sz w:val="24"/>
        </w:rPr>
        <w:t>。</w:t>
      </w:r>
    </w:p>
    <w:p w14:paraId="2CEB03C8" w14:textId="795F8BDA" w:rsidR="0071537A" w:rsidRDefault="00E91F81">
      <w:pPr>
        <w:snapToGrid w:val="0"/>
        <w:spacing w:beforeLines="50" w:before="156" w:line="360" w:lineRule="auto"/>
        <w:ind w:firstLineChars="200" w:firstLine="482"/>
        <w:rPr>
          <w:rFonts w:eastAsiaTheme="minorEastAsia"/>
          <w:b/>
          <w:bCs/>
          <w:color w:val="000000" w:themeColor="text1"/>
          <w:sz w:val="24"/>
        </w:rPr>
      </w:pPr>
      <w:r>
        <w:rPr>
          <w:rFonts w:eastAsiaTheme="minorEastAsia" w:hint="eastAsia"/>
          <w:b/>
          <w:bCs/>
          <w:color w:val="000000" w:themeColor="text1"/>
          <w:sz w:val="24"/>
        </w:rPr>
        <w:lastRenderedPageBreak/>
        <w:t>二、本激励计划的</w:t>
      </w:r>
      <w:r w:rsidR="00D90956">
        <w:rPr>
          <w:rFonts w:eastAsiaTheme="minorEastAsia" w:hint="eastAsia"/>
          <w:b/>
          <w:bCs/>
          <w:color w:val="000000" w:themeColor="text1"/>
          <w:sz w:val="24"/>
        </w:rPr>
        <w:t>预留</w:t>
      </w:r>
      <w:r>
        <w:rPr>
          <w:rFonts w:eastAsiaTheme="minorEastAsia" w:hint="eastAsia"/>
          <w:b/>
          <w:bCs/>
          <w:color w:val="000000" w:themeColor="text1"/>
          <w:sz w:val="24"/>
        </w:rPr>
        <w:t>股票期权授予情况</w:t>
      </w:r>
    </w:p>
    <w:p w14:paraId="4EFCE85F" w14:textId="29929EE6" w:rsidR="0071537A" w:rsidRDefault="00E91F81">
      <w:pPr>
        <w:numPr>
          <w:ilvl w:val="0"/>
          <w:numId w:val="3"/>
        </w:numPr>
        <w:snapToGrid w:val="0"/>
        <w:spacing w:line="360" w:lineRule="auto"/>
        <w:ind w:left="0" w:firstLineChars="200" w:firstLine="480"/>
        <w:rPr>
          <w:rFonts w:eastAsiaTheme="minorEastAsia"/>
          <w:color w:val="000000" w:themeColor="text1"/>
          <w:sz w:val="24"/>
        </w:rPr>
      </w:pPr>
      <w:r>
        <w:rPr>
          <w:rFonts w:eastAsiaTheme="minorEastAsia" w:hint="eastAsia"/>
          <w:color w:val="000000" w:themeColor="text1"/>
          <w:sz w:val="24"/>
        </w:rPr>
        <w:t>股票来源：</w:t>
      </w:r>
      <w:r w:rsidR="006E48D1" w:rsidRPr="009079AA">
        <w:rPr>
          <w:rFonts w:eastAsiaTheme="minorEastAsia"/>
          <w:color w:val="000000" w:themeColor="text1"/>
          <w:sz w:val="24"/>
        </w:rPr>
        <w:t>公司向激励对象定向发行</w:t>
      </w:r>
      <w:r w:rsidR="007D5CE7">
        <w:rPr>
          <w:rFonts w:eastAsiaTheme="minorEastAsia" w:hint="eastAsia"/>
          <w:color w:val="000000" w:themeColor="text1"/>
          <w:sz w:val="24"/>
        </w:rPr>
        <w:t>的本公司人民币</w:t>
      </w:r>
      <w:r w:rsidR="006E48D1" w:rsidRPr="009079AA">
        <w:rPr>
          <w:rFonts w:eastAsiaTheme="minorEastAsia"/>
          <w:color w:val="000000" w:themeColor="text1"/>
          <w:sz w:val="24"/>
        </w:rPr>
        <w:t>A</w:t>
      </w:r>
      <w:r w:rsidR="006E48D1" w:rsidRPr="009079AA">
        <w:rPr>
          <w:rFonts w:eastAsiaTheme="minorEastAsia"/>
          <w:color w:val="000000" w:themeColor="text1"/>
          <w:sz w:val="24"/>
        </w:rPr>
        <w:t>股普通股股票</w:t>
      </w:r>
    </w:p>
    <w:p w14:paraId="576B60BF" w14:textId="77791ADE" w:rsidR="0071537A" w:rsidRDefault="00BD109D">
      <w:pPr>
        <w:numPr>
          <w:ilvl w:val="0"/>
          <w:numId w:val="3"/>
        </w:numPr>
        <w:snapToGrid w:val="0"/>
        <w:spacing w:line="360" w:lineRule="auto"/>
        <w:ind w:left="0" w:firstLineChars="200" w:firstLine="480"/>
        <w:rPr>
          <w:rFonts w:eastAsiaTheme="minorEastAsia"/>
          <w:color w:val="000000" w:themeColor="text1"/>
          <w:sz w:val="24"/>
        </w:rPr>
      </w:pPr>
      <w:r>
        <w:rPr>
          <w:rFonts w:eastAsiaTheme="minorEastAsia" w:hint="eastAsia"/>
          <w:color w:val="000000" w:themeColor="text1"/>
          <w:sz w:val="24"/>
        </w:rPr>
        <w:t>预留授权日</w:t>
      </w:r>
      <w:r w:rsidR="00E91F81">
        <w:rPr>
          <w:rFonts w:eastAsiaTheme="minorEastAsia" w:hint="eastAsia"/>
          <w:color w:val="000000" w:themeColor="text1"/>
          <w:sz w:val="24"/>
        </w:rPr>
        <w:t>：</w:t>
      </w:r>
      <w:r w:rsidR="00DF575C">
        <w:rPr>
          <w:rFonts w:eastAsiaTheme="minorEastAsia" w:hint="eastAsia"/>
          <w:color w:val="000000" w:themeColor="text1"/>
          <w:sz w:val="24"/>
        </w:rPr>
        <w:t>2022</w:t>
      </w:r>
      <w:r w:rsidR="00E91F81">
        <w:rPr>
          <w:rFonts w:eastAsiaTheme="minorEastAsia" w:hint="eastAsia"/>
          <w:color w:val="000000" w:themeColor="text1"/>
          <w:sz w:val="24"/>
        </w:rPr>
        <w:t>年</w:t>
      </w:r>
      <w:r>
        <w:rPr>
          <w:rFonts w:eastAsiaTheme="minorEastAsia"/>
          <w:color w:val="000000" w:themeColor="text1"/>
          <w:sz w:val="24"/>
        </w:rPr>
        <w:t>10</w:t>
      </w:r>
      <w:r w:rsidR="00E91F81">
        <w:rPr>
          <w:rFonts w:eastAsiaTheme="minorEastAsia" w:hint="eastAsia"/>
          <w:color w:val="000000" w:themeColor="text1"/>
          <w:sz w:val="24"/>
        </w:rPr>
        <w:t>月</w:t>
      </w:r>
      <w:r>
        <w:rPr>
          <w:rFonts w:eastAsiaTheme="minorEastAsia"/>
          <w:color w:val="000000" w:themeColor="text1"/>
          <w:sz w:val="24"/>
        </w:rPr>
        <w:t>28</w:t>
      </w:r>
      <w:r w:rsidR="00E91F81">
        <w:rPr>
          <w:rFonts w:eastAsiaTheme="minorEastAsia" w:hint="eastAsia"/>
          <w:color w:val="000000" w:themeColor="text1"/>
          <w:sz w:val="24"/>
        </w:rPr>
        <w:t>日</w:t>
      </w:r>
    </w:p>
    <w:p w14:paraId="4D6B703A" w14:textId="74422E64" w:rsidR="0071537A" w:rsidRDefault="00E91F81">
      <w:pPr>
        <w:numPr>
          <w:ilvl w:val="0"/>
          <w:numId w:val="3"/>
        </w:numPr>
        <w:snapToGrid w:val="0"/>
        <w:spacing w:line="360" w:lineRule="auto"/>
        <w:ind w:left="0" w:firstLineChars="200" w:firstLine="480"/>
        <w:rPr>
          <w:rFonts w:eastAsiaTheme="minorEastAsia"/>
          <w:color w:val="000000" w:themeColor="text1"/>
          <w:sz w:val="24"/>
        </w:rPr>
      </w:pPr>
      <w:r>
        <w:rPr>
          <w:rFonts w:eastAsiaTheme="minorEastAsia" w:hint="eastAsia"/>
          <w:color w:val="000000" w:themeColor="text1"/>
          <w:sz w:val="24"/>
        </w:rPr>
        <w:t>行权价格：</w:t>
      </w:r>
      <w:r w:rsidR="006E48D1">
        <w:rPr>
          <w:rFonts w:eastAsiaTheme="minorEastAsia" w:hint="eastAsia"/>
          <w:color w:val="000000" w:themeColor="text1"/>
          <w:sz w:val="24"/>
        </w:rPr>
        <w:t>1</w:t>
      </w:r>
      <w:r w:rsidR="006E48D1">
        <w:rPr>
          <w:rFonts w:eastAsiaTheme="minorEastAsia"/>
          <w:color w:val="000000" w:themeColor="text1"/>
          <w:sz w:val="24"/>
        </w:rPr>
        <w:t>4.74</w:t>
      </w:r>
      <w:r>
        <w:rPr>
          <w:rFonts w:eastAsiaTheme="minorEastAsia" w:hint="eastAsia"/>
          <w:color w:val="000000" w:themeColor="text1"/>
          <w:sz w:val="24"/>
        </w:rPr>
        <w:t>元</w:t>
      </w:r>
      <w:r>
        <w:rPr>
          <w:rFonts w:eastAsiaTheme="minorEastAsia" w:hint="eastAsia"/>
          <w:color w:val="000000" w:themeColor="text1"/>
          <w:sz w:val="24"/>
        </w:rPr>
        <w:t>/</w:t>
      </w:r>
      <w:r>
        <w:rPr>
          <w:rFonts w:eastAsiaTheme="minorEastAsia" w:hint="eastAsia"/>
          <w:color w:val="000000" w:themeColor="text1"/>
          <w:sz w:val="24"/>
        </w:rPr>
        <w:t>股</w:t>
      </w:r>
    </w:p>
    <w:p w14:paraId="2DBD500A" w14:textId="2DE9F70A" w:rsidR="0071537A" w:rsidRDefault="00BD109D">
      <w:pPr>
        <w:numPr>
          <w:ilvl w:val="0"/>
          <w:numId w:val="3"/>
        </w:numPr>
        <w:snapToGrid w:val="0"/>
        <w:spacing w:line="360" w:lineRule="auto"/>
        <w:ind w:left="0" w:firstLineChars="200" w:firstLine="480"/>
        <w:rPr>
          <w:rFonts w:eastAsiaTheme="minorEastAsia"/>
          <w:color w:val="000000" w:themeColor="text1"/>
          <w:sz w:val="24"/>
        </w:rPr>
      </w:pPr>
      <w:r>
        <w:rPr>
          <w:rFonts w:eastAsiaTheme="minorEastAsia" w:hint="eastAsia"/>
          <w:color w:val="000000" w:themeColor="text1"/>
          <w:sz w:val="24"/>
        </w:rPr>
        <w:t>预留</w:t>
      </w:r>
      <w:r w:rsidR="00E91F81">
        <w:rPr>
          <w:rFonts w:eastAsiaTheme="minorEastAsia"/>
          <w:color w:val="000000" w:themeColor="text1"/>
          <w:sz w:val="24"/>
        </w:rPr>
        <w:t>授予数量：</w:t>
      </w:r>
      <w:r>
        <w:rPr>
          <w:rFonts w:eastAsiaTheme="minorEastAsia"/>
          <w:color w:val="000000" w:themeColor="text1"/>
          <w:sz w:val="24"/>
        </w:rPr>
        <w:t>60.50</w:t>
      </w:r>
      <w:r w:rsidR="00E91F81">
        <w:rPr>
          <w:rFonts w:eastAsiaTheme="minorEastAsia"/>
          <w:color w:val="000000" w:themeColor="text1"/>
          <w:sz w:val="24"/>
        </w:rPr>
        <w:t>万份</w:t>
      </w:r>
    </w:p>
    <w:p w14:paraId="52B469D8" w14:textId="4AFE81AD" w:rsidR="0071537A" w:rsidRDefault="00BD109D">
      <w:pPr>
        <w:numPr>
          <w:ilvl w:val="0"/>
          <w:numId w:val="3"/>
        </w:numPr>
        <w:snapToGrid w:val="0"/>
        <w:spacing w:line="360" w:lineRule="auto"/>
        <w:ind w:left="0" w:firstLineChars="200" w:firstLine="480"/>
        <w:rPr>
          <w:rFonts w:eastAsiaTheme="minorEastAsia"/>
          <w:color w:val="000000" w:themeColor="text1"/>
          <w:sz w:val="24"/>
        </w:rPr>
      </w:pPr>
      <w:r>
        <w:rPr>
          <w:rFonts w:eastAsiaTheme="minorEastAsia" w:hint="eastAsia"/>
          <w:color w:val="000000" w:themeColor="text1"/>
          <w:sz w:val="24"/>
        </w:rPr>
        <w:t>预留</w:t>
      </w:r>
      <w:r w:rsidR="00E91F81">
        <w:rPr>
          <w:rFonts w:eastAsiaTheme="minorEastAsia" w:hint="eastAsia"/>
          <w:color w:val="000000" w:themeColor="text1"/>
          <w:sz w:val="24"/>
        </w:rPr>
        <w:t>授予人数：</w:t>
      </w:r>
      <w:r>
        <w:rPr>
          <w:rFonts w:eastAsiaTheme="minorEastAsia"/>
          <w:color w:val="000000" w:themeColor="text1"/>
          <w:sz w:val="24"/>
        </w:rPr>
        <w:t>20</w:t>
      </w:r>
      <w:r w:rsidR="00E91F81">
        <w:rPr>
          <w:rFonts w:eastAsiaTheme="minorEastAsia"/>
          <w:color w:val="000000" w:themeColor="text1"/>
          <w:sz w:val="24"/>
        </w:rPr>
        <w:t>人</w:t>
      </w:r>
    </w:p>
    <w:p w14:paraId="6E4D77FB" w14:textId="0F8A8E84" w:rsidR="0071537A" w:rsidRDefault="00E91F81">
      <w:pPr>
        <w:numPr>
          <w:ilvl w:val="0"/>
          <w:numId w:val="3"/>
        </w:numPr>
        <w:snapToGrid w:val="0"/>
        <w:ind w:left="0" w:firstLineChars="200" w:firstLine="480"/>
        <w:jc w:val="left"/>
        <w:rPr>
          <w:rFonts w:eastAsiaTheme="minorEastAsia"/>
          <w:color w:val="000000" w:themeColor="text1"/>
          <w:sz w:val="24"/>
        </w:rPr>
      </w:pPr>
      <w:r>
        <w:rPr>
          <w:rFonts w:eastAsiaTheme="minorEastAsia" w:hint="eastAsia"/>
          <w:color w:val="000000" w:themeColor="text1"/>
          <w:sz w:val="24"/>
        </w:rPr>
        <w:t>激励</w:t>
      </w:r>
      <w:proofErr w:type="gramStart"/>
      <w:r>
        <w:rPr>
          <w:rFonts w:eastAsiaTheme="minorEastAsia" w:hint="eastAsia"/>
          <w:color w:val="000000" w:themeColor="text1"/>
          <w:sz w:val="24"/>
        </w:rPr>
        <w:t>对象获</w:t>
      </w:r>
      <w:proofErr w:type="gramEnd"/>
      <w:r>
        <w:rPr>
          <w:rFonts w:eastAsiaTheme="minorEastAsia" w:hint="eastAsia"/>
          <w:color w:val="000000" w:themeColor="text1"/>
          <w:sz w:val="24"/>
        </w:rPr>
        <w:t>授的</w:t>
      </w:r>
      <w:r w:rsidR="00BF3E75">
        <w:rPr>
          <w:rFonts w:eastAsiaTheme="minorEastAsia" w:hint="eastAsia"/>
          <w:color w:val="000000" w:themeColor="text1"/>
          <w:sz w:val="24"/>
        </w:rPr>
        <w:t>预留</w:t>
      </w:r>
      <w:r>
        <w:rPr>
          <w:rFonts w:eastAsiaTheme="minorEastAsia" w:hint="eastAsia"/>
          <w:color w:val="000000" w:themeColor="text1"/>
          <w:sz w:val="24"/>
        </w:rPr>
        <w:t>股票期权具体分配情况如下：</w:t>
      </w:r>
    </w:p>
    <w:tbl>
      <w:tblPr>
        <w:tblStyle w:val="af5"/>
        <w:tblW w:w="5085" w:type="pct"/>
        <w:jc w:val="center"/>
        <w:tblLook w:val="04A0" w:firstRow="1" w:lastRow="0" w:firstColumn="1" w:lastColumn="0" w:noHBand="0" w:noVBand="1"/>
      </w:tblPr>
      <w:tblGrid>
        <w:gridCol w:w="2457"/>
        <w:gridCol w:w="1913"/>
        <w:gridCol w:w="2194"/>
        <w:gridCol w:w="1880"/>
      </w:tblGrid>
      <w:tr w:rsidR="00BD109D" w:rsidRPr="006778FA" w14:paraId="1242EAA1" w14:textId="77777777" w:rsidTr="00007265">
        <w:trPr>
          <w:trHeight w:val="936"/>
          <w:jc w:val="center"/>
        </w:trPr>
        <w:tc>
          <w:tcPr>
            <w:tcW w:w="1455" w:type="pct"/>
            <w:shd w:val="clear" w:color="auto" w:fill="BFBFBF" w:themeFill="background1" w:themeFillShade="BF"/>
            <w:vAlign w:val="center"/>
          </w:tcPr>
          <w:p w14:paraId="3E92697A" w14:textId="77777777" w:rsidR="00BD109D" w:rsidRPr="006778FA" w:rsidRDefault="00BD109D" w:rsidP="00007265">
            <w:pPr>
              <w:jc w:val="center"/>
              <w:rPr>
                <w:rFonts w:ascii="宋体" w:hAnsi="宋体" w:cstheme="minorBidi"/>
                <w:szCs w:val="21"/>
              </w:rPr>
            </w:pPr>
            <w:r w:rsidRPr="006778FA">
              <w:rPr>
                <w:rFonts w:ascii="宋体" w:hAnsi="宋体" w:cstheme="minorBidi" w:hint="eastAsia"/>
                <w:szCs w:val="21"/>
              </w:rPr>
              <w:t>职务</w:t>
            </w:r>
          </w:p>
        </w:tc>
        <w:tc>
          <w:tcPr>
            <w:tcW w:w="1133" w:type="pct"/>
            <w:shd w:val="clear" w:color="auto" w:fill="BFBFBF" w:themeFill="background1" w:themeFillShade="BF"/>
            <w:vAlign w:val="center"/>
          </w:tcPr>
          <w:p w14:paraId="11E54271" w14:textId="77777777" w:rsidR="00BD109D" w:rsidRPr="006778FA" w:rsidRDefault="00BD109D" w:rsidP="00007265">
            <w:pPr>
              <w:jc w:val="center"/>
              <w:rPr>
                <w:rFonts w:ascii="宋体" w:hAnsi="宋体" w:cstheme="minorBidi"/>
                <w:szCs w:val="21"/>
              </w:rPr>
            </w:pPr>
            <w:r w:rsidRPr="006778FA">
              <w:rPr>
                <w:rFonts w:asciiTheme="minorHAnsi" w:eastAsiaTheme="minorEastAsia" w:hAnsiTheme="minorHAnsi" w:cstheme="minorBidi" w:hint="eastAsia"/>
                <w:szCs w:val="21"/>
              </w:rPr>
              <w:t>获授的股票期权数量（万份）</w:t>
            </w:r>
          </w:p>
        </w:tc>
        <w:tc>
          <w:tcPr>
            <w:tcW w:w="1299" w:type="pct"/>
            <w:shd w:val="clear" w:color="auto" w:fill="BFBFBF" w:themeFill="background1" w:themeFillShade="BF"/>
            <w:vAlign w:val="center"/>
          </w:tcPr>
          <w:p w14:paraId="2332A9B7" w14:textId="77777777" w:rsidR="00BD109D" w:rsidRPr="006778FA" w:rsidRDefault="00BD109D" w:rsidP="00007265">
            <w:pPr>
              <w:jc w:val="center"/>
              <w:rPr>
                <w:rFonts w:ascii="宋体" w:hAnsi="宋体" w:cstheme="minorBidi"/>
                <w:szCs w:val="21"/>
              </w:rPr>
            </w:pPr>
            <w:r w:rsidRPr="006778FA">
              <w:rPr>
                <w:rFonts w:asciiTheme="minorHAnsi" w:eastAsiaTheme="minorEastAsia" w:hAnsiTheme="minorHAnsi" w:cstheme="minorBidi" w:hint="eastAsia"/>
                <w:szCs w:val="21"/>
              </w:rPr>
              <w:t>占本激励计划</w:t>
            </w:r>
            <w:proofErr w:type="gramStart"/>
            <w:r w:rsidRPr="006778FA">
              <w:rPr>
                <w:rFonts w:asciiTheme="minorHAnsi" w:eastAsiaTheme="minorEastAsia" w:hAnsiTheme="minorHAnsi" w:cstheme="minorBidi" w:hint="eastAsia"/>
                <w:szCs w:val="21"/>
              </w:rPr>
              <w:t>拟授出权益</w:t>
            </w:r>
            <w:proofErr w:type="gramEnd"/>
            <w:r w:rsidRPr="006778FA">
              <w:rPr>
                <w:rFonts w:asciiTheme="minorHAnsi" w:eastAsiaTheme="minorEastAsia" w:hAnsiTheme="minorHAnsi" w:cstheme="minorBidi" w:hint="eastAsia"/>
                <w:szCs w:val="21"/>
              </w:rPr>
              <w:t>数量的比例</w:t>
            </w:r>
          </w:p>
        </w:tc>
        <w:tc>
          <w:tcPr>
            <w:tcW w:w="1113" w:type="pct"/>
            <w:shd w:val="clear" w:color="auto" w:fill="BFBFBF" w:themeFill="background1" w:themeFillShade="BF"/>
            <w:vAlign w:val="center"/>
          </w:tcPr>
          <w:p w14:paraId="69A5A1F4" w14:textId="77777777" w:rsidR="00BD109D" w:rsidRPr="006778FA" w:rsidRDefault="00BD109D" w:rsidP="00007265">
            <w:pPr>
              <w:jc w:val="center"/>
              <w:rPr>
                <w:rFonts w:asciiTheme="minorHAnsi" w:eastAsiaTheme="minorEastAsia" w:hAnsiTheme="minorHAnsi" w:cstheme="minorBidi"/>
                <w:szCs w:val="21"/>
              </w:rPr>
            </w:pPr>
            <w:r w:rsidRPr="006778FA">
              <w:rPr>
                <w:rFonts w:asciiTheme="minorHAnsi" w:eastAsiaTheme="minorEastAsia" w:hAnsiTheme="minorHAnsi" w:cstheme="minorBidi" w:hint="eastAsia"/>
                <w:szCs w:val="21"/>
              </w:rPr>
              <w:t>占预留授权日公司股本总额比例</w:t>
            </w:r>
          </w:p>
        </w:tc>
      </w:tr>
      <w:tr w:rsidR="00BD109D" w:rsidRPr="006778FA" w14:paraId="48BE19BF" w14:textId="77777777" w:rsidTr="00007265">
        <w:trPr>
          <w:trHeight w:val="414"/>
          <w:jc w:val="center"/>
        </w:trPr>
        <w:tc>
          <w:tcPr>
            <w:tcW w:w="1455" w:type="pct"/>
            <w:vAlign w:val="center"/>
          </w:tcPr>
          <w:p w14:paraId="2C2FE5ED" w14:textId="77777777" w:rsidR="00BD109D" w:rsidRPr="006778FA" w:rsidRDefault="00BD109D" w:rsidP="00007265">
            <w:pPr>
              <w:jc w:val="center"/>
              <w:rPr>
                <w:szCs w:val="21"/>
              </w:rPr>
            </w:pPr>
            <w:r w:rsidRPr="006778FA">
              <w:rPr>
                <w:rFonts w:hint="eastAsia"/>
                <w:szCs w:val="21"/>
              </w:rPr>
              <w:t>核心岗位人员</w:t>
            </w:r>
          </w:p>
          <w:p w14:paraId="44947ADB" w14:textId="77777777" w:rsidR="00BD109D" w:rsidRPr="006778FA" w:rsidRDefault="00BD109D" w:rsidP="00007265">
            <w:pPr>
              <w:jc w:val="center"/>
              <w:rPr>
                <w:szCs w:val="21"/>
              </w:rPr>
            </w:pPr>
            <w:r w:rsidRPr="006778FA">
              <w:rPr>
                <w:rFonts w:hint="eastAsia"/>
                <w:szCs w:val="21"/>
              </w:rPr>
              <w:t>（</w:t>
            </w:r>
            <w:r w:rsidRPr="006778FA">
              <w:rPr>
                <w:szCs w:val="21"/>
              </w:rPr>
              <w:t>20</w:t>
            </w:r>
            <w:r w:rsidRPr="006778FA">
              <w:rPr>
                <w:rFonts w:hint="eastAsia"/>
                <w:szCs w:val="21"/>
              </w:rPr>
              <w:t>人）</w:t>
            </w:r>
          </w:p>
        </w:tc>
        <w:tc>
          <w:tcPr>
            <w:tcW w:w="1133" w:type="pct"/>
            <w:vAlign w:val="center"/>
          </w:tcPr>
          <w:p w14:paraId="0F3A0186" w14:textId="77777777" w:rsidR="00BD109D" w:rsidRPr="006778FA" w:rsidRDefault="00BD109D" w:rsidP="00007265">
            <w:pPr>
              <w:jc w:val="center"/>
              <w:rPr>
                <w:szCs w:val="21"/>
              </w:rPr>
            </w:pPr>
            <w:r w:rsidRPr="006778FA">
              <w:rPr>
                <w:szCs w:val="21"/>
              </w:rPr>
              <w:t>60.50</w:t>
            </w:r>
          </w:p>
        </w:tc>
        <w:tc>
          <w:tcPr>
            <w:tcW w:w="1299" w:type="pct"/>
            <w:vAlign w:val="center"/>
          </w:tcPr>
          <w:p w14:paraId="3F591C9D" w14:textId="77777777" w:rsidR="00BD109D" w:rsidRPr="006778FA" w:rsidRDefault="00BD109D" w:rsidP="00007265">
            <w:pPr>
              <w:jc w:val="center"/>
              <w:rPr>
                <w:szCs w:val="21"/>
              </w:rPr>
            </w:pPr>
            <w:r w:rsidRPr="006778FA">
              <w:rPr>
                <w:szCs w:val="21"/>
              </w:rPr>
              <w:t>10.12%</w:t>
            </w:r>
          </w:p>
        </w:tc>
        <w:tc>
          <w:tcPr>
            <w:tcW w:w="1113" w:type="pct"/>
            <w:vAlign w:val="center"/>
          </w:tcPr>
          <w:p w14:paraId="58AB8FF2" w14:textId="77777777" w:rsidR="00BD109D" w:rsidRPr="006778FA" w:rsidRDefault="00BD109D" w:rsidP="00007265">
            <w:pPr>
              <w:jc w:val="center"/>
              <w:rPr>
                <w:szCs w:val="21"/>
              </w:rPr>
            </w:pPr>
            <w:r w:rsidRPr="006778FA">
              <w:rPr>
                <w:szCs w:val="21"/>
              </w:rPr>
              <w:t>0.30%</w:t>
            </w:r>
          </w:p>
        </w:tc>
      </w:tr>
      <w:tr w:rsidR="00BD109D" w:rsidRPr="006778FA" w14:paraId="1DBC9075" w14:textId="77777777" w:rsidTr="00007265">
        <w:trPr>
          <w:trHeight w:val="289"/>
          <w:jc w:val="center"/>
        </w:trPr>
        <w:tc>
          <w:tcPr>
            <w:tcW w:w="1455" w:type="pct"/>
            <w:vAlign w:val="center"/>
          </w:tcPr>
          <w:p w14:paraId="3FEE7E44" w14:textId="77777777" w:rsidR="00BD109D" w:rsidRPr="006778FA" w:rsidRDefault="00BD109D" w:rsidP="00007265">
            <w:pPr>
              <w:jc w:val="center"/>
              <w:rPr>
                <w:szCs w:val="21"/>
              </w:rPr>
            </w:pPr>
            <w:r w:rsidRPr="006778FA">
              <w:rPr>
                <w:rFonts w:hint="eastAsia"/>
                <w:szCs w:val="21"/>
              </w:rPr>
              <w:t>合计</w:t>
            </w:r>
          </w:p>
        </w:tc>
        <w:tc>
          <w:tcPr>
            <w:tcW w:w="1133" w:type="pct"/>
            <w:vAlign w:val="center"/>
          </w:tcPr>
          <w:p w14:paraId="3B6ED44A" w14:textId="77777777" w:rsidR="00BD109D" w:rsidRPr="006778FA" w:rsidRDefault="00BD109D" w:rsidP="00007265">
            <w:pPr>
              <w:jc w:val="center"/>
              <w:rPr>
                <w:szCs w:val="21"/>
              </w:rPr>
            </w:pPr>
            <w:r w:rsidRPr="006778FA">
              <w:rPr>
                <w:szCs w:val="21"/>
              </w:rPr>
              <w:t>60.50</w:t>
            </w:r>
          </w:p>
        </w:tc>
        <w:tc>
          <w:tcPr>
            <w:tcW w:w="1299" w:type="pct"/>
            <w:vAlign w:val="center"/>
          </w:tcPr>
          <w:p w14:paraId="25D2EFB4" w14:textId="77777777" w:rsidR="00BD109D" w:rsidRPr="006778FA" w:rsidRDefault="00BD109D" w:rsidP="00007265">
            <w:pPr>
              <w:jc w:val="center"/>
              <w:rPr>
                <w:szCs w:val="21"/>
              </w:rPr>
            </w:pPr>
            <w:r w:rsidRPr="006778FA">
              <w:rPr>
                <w:szCs w:val="21"/>
              </w:rPr>
              <w:t>10.12%</w:t>
            </w:r>
          </w:p>
        </w:tc>
        <w:tc>
          <w:tcPr>
            <w:tcW w:w="1113" w:type="pct"/>
            <w:vAlign w:val="center"/>
          </w:tcPr>
          <w:p w14:paraId="2842978C" w14:textId="77777777" w:rsidR="00BD109D" w:rsidRPr="006778FA" w:rsidRDefault="00BD109D" w:rsidP="00007265">
            <w:pPr>
              <w:jc w:val="center"/>
              <w:rPr>
                <w:szCs w:val="21"/>
              </w:rPr>
            </w:pPr>
            <w:r w:rsidRPr="006778FA">
              <w:rPr>
                <w:szCs w:val="21"/>
              </w:rPr>
              <w:t>0.30%</w:t>
            </w:r>
          </w:p>
        </w:tc>
      </w:tr>
    </w:tbl>
    <w:p w14:paraId="7E150138" w14:textId="77777777" w:rsidR="0071537A" w:rsidRDefault="00E91F81">
      <w:pPr>
        <w:pStyle w:val="12"/>
        <w:widowControl/>
        <w:numPr>
          <w:ilvl w:val="0"/>
          <w:numId w:val="3"/>
        </w:numPr>
        <w:overflowPunct w:val="0"/>
        <w:autoSpaceDE/>
        <w:autoSpaceDN/>
        <w:adjustRightInd w:val="0"/>
        <w:snapToGrid w:val="0"/>
        <w:spacing w:beforeLines="50" w:before="156" w:line="360" w:lineRule="auto"/>
        <w:ind w:left="0" w:firstLineChars="200" w:firstLine="480"/>
        <w:jc w:val="both"/>
        <w:rPr>
          <w:rFonts w:eastAsiaTheme="minorEastAsia" w:hint="default"/>
          <w:color w:val="000000" w:themeColor="text1"/>
          <w:sz w:val="24"/>
          <w:szCs w:val="24"/>
        </w:rPr>
      </w:pPr>
      <w:r>
        <w:rPr>
          <w:rFonts w:eastAsiaTheme="minorEastAsia"/>
          <w:color w:val="000000" w:themeColor="text1"/>
          <w:sz w:val="24"/>
          <w:szCs w:val="24"/>
        </w:rPr>
        <w:t>股票期权的有效期、等待期和行权安排情况</w:t>
      </w:r>
    </w:p>
    <w:p w14:paraId="06DCAA06" w14:textId="65CB2AF7" w:rsidR="0071537A" w:rsidRDefault="007D5CE7">
      <w:pPr>
        <w:pStyle w:val="12"/>
        <w:widowControl/>
        <w:numPr>
          <w:ilvl w:val="0"/>
          <w:numId w:val="4"/>
        </w:numPr>
        <w:overflowPunct w:val="0"/>
        <w:autoSpaceDE/>
        <w:autoSpaceDN/>
        <w:adjustRightInd w:val="0"/>
        <w:snapToGrid w:val="0"/>
        <w:spacing w:before="0" w:line="360" w:lineRule="auto"/>
        <w:ind w:left="0" w:firstLineChars="200" w:firstLine="480"/>
        <w:jc w:val="both"/>
        <w:rPr>
          <w:rFonts w:eastAsiaTheme="minorEastAsia" w:hint="default"/>
          <w:color w:val="000000" w:themeColor="text1"/>
          <w:sz w:val="24"/>
          <w:szCs w:val="24"/>
        </w:rPr>
      </w:pPr>
      <w:r>
        <w:rPr>
          <w:rFonts w:eastAsiaTheme="minorEastAsia"/>
          <w:color w:val="000000" w:themeColor="text1"/>
          <w:sz w:val="24"/>
          <w:szCs w:val="24"/>
        </w:rPr>
        <w:t>本</w:t>
      </w:r>
      <w:r w:rsidR="00E91F81">
        <w:rPr>
          <w:rFonts w:eastAsiaTheme="minorEastAsia"/>
          <w:color w:val="000000" w:themeColor="text1"/>
          <w:sz w:val="24"/>
          <w:szCs w:val="24"/>
        </w:rPr>
        <w:t>激励计划有效期为自股票期权授权之日起至激励</w:t>
      </w:r>
      <w:proofErr w:type="gramStart"/>
      <w:r w:rsidR="00E91F81">
        <w:rPr>
          <w:rFonts w:eastAsiaTheme="minorEastAsia"/>
          <w:color w:val="000000" w:themeColor="text1"/>
          <w:sz w:val="24"/>
          <w:szCs w:val="24"/>
        </w:rPr>
        <w:t>对象获</w:t>
      </w:r>
      <w:proofErr w:type="gramEnd"/>
      <w:r w:rsidR="00E91F81">
        <w:rPr>
          <w:rFonts w:eastAsiaTheme="minorEastAsia"/>
          <w:color w:val="000000" w:themeColor="text1"/>
          <w:sz w:val="24"/>
          <w:szCs w:val="24"/>
        </w:rPr>
        <w:t>授的股票期权</w:t>
      </w:r>
      <w:r>
        <w:rPr>
          <w:rFonts w:eastAsiaTheme="minorEastAsia"/>
          <w:color w:val="000000" w:themeColor="text1"/>
          <w:sz w:val="24"/>
          <w:szCs w:val="24"/>
        </w:rPr>
        <w:t>全部</w:t>
      </w:r>
      <w:r w:rsidR="00E91F81">
        <w:rPr>
          <w:rFonts w:eastAsiaTheme="minorEastAsia"/>
          <w:color w:val="000000" w:themeColor="text1"/>
          <w:sz w:val="24"/>
          <w:szCs w:val="24"/>
        </w:rPr>
        <w:t>行权或注销完毕之日止，最长不超过</w:t>
      </w:r>
      <w:r w:rsidR="006E48D1">
        <w:rPr>
          <w:rFonts w:eastAsiaTheme="minorEastAsia"/>
          <w:color w:val="000000" w:themeColor="text1"/>
          <w:sz w:val="24"/>
          <w:szCs w:val="24"/>
        </w:rPr>
        <w:t>4</w:t>
      </w:r>
      <w:r w:rsidR="006E48D1">
        <w:rPr>
          <w:rFonts w:eastAsiaTheme="minorEastAsia" w:hint="default"/>
          <w:color w:val="000000" w:themeColor="text1"/>
          <w:sz w:val="24"/>
          <w:szCs w:val="24"/>
        </w:rPr>
        <w:t>8</w:t>
      </w:r>
      <w:r w:rsidR="00E91F81">
        <w:rPr>
          <w:rFonts w:eastAsiaTheme="minorEastAsia"/>
          <w:color w:val="000000" w:themeColor="text1"/>
          <w:sz w:val="24"/>
          <w:szCs w:val="24"/>
        </w:rPr>
        <w:t>个月。</w:t>
      </w:r>
    </w:p>
    <w:p w14:paraId="5A735237" w14:textId="286DBDD8" w:rsidR="0071537A" w:rsidRDefault="00E91F81">
      <w:pPr>
        <w:pStyle w:val="12"/>
        <w:widowControl/>
        <w:numPr>
          <w:ilvl w:val="0"/>
          <w:numId w:val="4"/>
        </w:numPr>
        <w:overflowPunct w:val="0"/>
        <w:autoSpaceDE/>
        <w:autoSpaceDN/>
        <w:adjustRightInd w:val="0"/>
        <w:snapToGrid w:val="0"/>
        <w:spacing w:before="0" w:line="360" w:lineRule="auto"/>
        <w:ind w:left="0" w:firstLineChars="200" w:firstLine="480"/>
        <w:jc w:val="both"/>
        <w:rPr>
          <w:rFonts w:eastAsiaTheme="minorEastAsia" w:hint="default"/>
          <w:color w:val="000000" w:themeColor="text1"/>
          <w:sz w:val="24"/>
          <w:szCs w:val="24"/>
        </w:rPr>
      </w:pPr>
      <w:r>
        <w:rPr>
          <w:rFonts w:eastAsiaTheme="minorEastAsia" w:hint="default"/>
          <w:color w:val="000000" w:themeColor="text1"/>
          <w:sz w:val="24"/>
          <w:szCs w:val="24"/>
        </w:rPr>
        <w:t>激励</w:t>
      </w:r>
      <w:proofErr w:type="gramStart"/>
      <w:r>
        <w:rPr>
          <w:rFonts w:eastAsiaTheme="minorEastAsia" w:hint="default"/>
          <w:color w:val="000000" w:themeColor="text1"/>
          <w:sz w:val="24"/>
          <w:szCs w:val="24"/>
        </w:rPr>
        <w:t>对象获</w:t>
      </w:r>
      <w:proofErr w:type="gramEnd"/>
      <w:r>
        <w:rPr>
          <w:rFonts w:eastAsiaTheme="minorEastAsia" w:hint="default"/>
          <w:color w:val="000000" w:themeColor="text1"/>
          <w:sz w:val="24"/>
          <w:szCs w:val="24"/>
        </w:rPr>
        <w:t>授的</w:t>
      </w:r>
      <w:r w:rsidR="00B123BC">
        <w:rPr>
          <w:rFonts w:eastAsiaTheme="minorEastAsia"/>
          <w:color w:val="000000" w:themeColor="text1"/>
          <w:sz w:val="24"/>
          <w:szCs w:val="24"/>
        </w:rPr>
        <w:t>全部</w:t>
      </w:r>
      <w:r>
        <w:rPr>
          <w:rFonts w:eastAsiaTheme="minorEastAsia" w:hint="default"/>
          <w:color w:val="000000" w:themeColor="text1"/>
          <w:sz w:val="24"/>
          <w:szCs w:val="24"/>
        </w:rPr>
        <w:t>股票期权适用不同的等待期，均自授权完成登记日起计。授权日与首次可行权日之间的间隔不得少于12个月。</w:t>
      </w:r>
    </w:p>
    <w:p w14:paraId="6B6B132A" w14:textId="0D71922E" w:rsidR="00BD675F" w:rsidRDefault="00E91F81" w:rsidP="00BD675F">
      <w:pPr>
        <w:spacing w:after="50" w:line="360" w:lineRule="auto"/>
        <w:ind w:firstLineChars="200" w:firstLine="480"/>
        <w:rPr>
          <w:rFonts w:eastAsiaTheme="minorEastAsia"/>
          <w:sz w:val="24"/>
          <w:szCs w:val="24"/>
        </w:rPr>
      </w:pPr>
      <w:r>
        <w:rPr>
          <w:snapToGrid w:val="0"/>
          <w:sz w:val="24"/>
          <w:szCs w:val="24"/>
        </w:rPr>
        <w:t>（</w:t>
      </w:r>
      <w:r>
        <w:rPr>
          <w:snapToGrid w:val="0"/>
          <w:sz w:val="24"/>
          <w:szCs w:val="24"/>
        </w:rPr>
        <w:t>3</w:t>
      </w:r>
      <w:r>
        <w:rPr>
          <w:snapToGrid w:val="0"/>
          <w:sz w:val="24"/>
          <w:szCs w:val="24"/>
        </w:rPr>
        <w:t>）</w:t>
      </w:r>
      <w:r w:rsidR="00BD675F" w:rsidRPr="00A942A3">
        <w:rPr>
          <w:rFonts w:eastAsiaTheme="minorEastAsia" w:hint="eastAsia"/>
          <w:sz w:val="24"/>
          <w:szCs w:val="24"/>
        </w:rPr>
        <w:t>预留部分股票期权行权安排如下</w:t>
      </w:r>
      <w:r w:rsidR="00261117">
        <w:rPr>
          <w:rFonts w:eastAsiaTheme="minorEastAsia" w:hint="eastAsia"/>
          <w:sz w:val="24"/>
          <w:szCs w:val="24"/>
        </w:rPr>
        <w:t>表所示</w:t>
      </w:r>
      <w:r w:rsidR="00BD675F" w:rsidRPr="00A942A3">
        <w:rPr>
          <w:rFonts w:eastAsiaTheme="minorEastAsia" w:hint="eastAsia"/>
          <w:sz w:val="24"/>
          <w:szCs w:val="24"/>
        </w:rPr>
        <w: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961"/>
        <w:gridCol w:w="1730"/>
      </w:tblGrid>
      <w:tr w:rsidR="00BD675F" w14:paraId="3C588259" w14:textId="77777777" w:rsidTr="00007265">
        <w:trPr>
          <w:trHeight w:val="389"/>
        </w:trPr>
        <w:tc>
          <w:tcPr>
            <w:tcW w:w="1951" w:type="dxa"/>
            <w:shd w:val="clear" w:color="auto" w:fill="F2F2F2"/>
            <w:vAlign w:val="center"/>
          </w:tcPr>
          <w:p w14:paraId="05CB20EE" w14:textId="77777777" w:rsidR="00BD675F" w:rsidRDefault="00BD675F" w:rsidP="00007265">
            <w:pPr>
              <w:spacing w:beforeLines="50" w:before="156" w:after="50"/>
              <w:jc w:val="center"/>
              <w:rPr>
                <w:b/>
                <w:szCs w:val="21"/>
              </w:rPr>
            </w:pPr>
            <w:r>
              <w:rPr>
                <w:b/>
                <w:szCs w:val="21"/>
              </w:rPr>
              <w:t>行权安排</w:t>
            </w:r>
          </w:p>
        </w:tc>
        <w:tc>
          <w:tcPr>
            <w:tcW w:w="4961" w:type="dxa"/>
            <w:shd w:val="clear" w:color="auto" w:fill="F2F2F2"/>
            <w:vAlign w:val="center"/>
          </w:tcPr>
          <w:p w14:paraId="5CBB08E0" w14:textId="77777777" w:rsidR="00BD675F" w:rsidRDefault="00BD675F" w:rsidP="00007265">
            <w:pPr>
              <w:spacing w:beforeLines="50" w:before="156" w:after="50"/>
              <w:ind w:firstLine="422"/>
              <w:jc w:val="center"/>
              <w:rPr>
                <w:b/>
                <w:szCs w:val="21"/>
              </w:rPr>
            </w:pPr>
            <w:r>
              <w:rPr>
                <w:b/>
                <w:szCs w:val="21"/>
              </w:rPr>
              <w:t>行权期间</w:t>
            </w:r>
          </w:p>
        </w:tc>
        <w:tc>
          <w:tcPr>
            <w:tcW w:w="1730" w:type="dxa"/>
            <w:shd w:val="clear" w:color="auto" w:fill="F2F2F2"/>
            <w:vAlign w:val="center"/>
          </w:tcPr>
          <w:p w14:paraId="0E505EFB" w14:textId="77777777" w:rsidR="00BD675F" w:rsidRDefault="00BD675F" w:rsidP="00007265">
            <w:pPr>
              <w:spacing w:beforeLines="50" w:before="156" w:after="50"/>
              <w:jc w:val="center"/>
              <w:rPr>
                <w:b/>
                <w:szCs w:val="21"/>
              </w:rPr>
            </w:pPr>
            <w:r>
              <w:rPr>
                <w:b/>
                <w:szCs w:val="21"/>
              </w:rPr>
              <w:t>行权比例</w:t>
            </w:r>
          </w:p>
        </w:tc>
      </w:tr>
      <w:tr w:rsidR="00BD675F" w14:paraId="07EE6B3D" w14:textId="77777777" w:rsidTr="00007265">
        <w:trPr>
          <w:trHeight w:val="1020"/>
        </w:trPr>
        <w:tc>
          <w:tcPr>
            <w:tcW w:w="1951" w:type="dxa"/>
            <w:vAlign w:val="center"/>
          </w:tcPr>
          <w:p w14:paraId="2A8D6EE5" w14:textId="77777777" w:rsidR="00BD675F" w:rsidRDefault="00BD675F" w:rsidP="00007265">
            <w:pPr>
              <w:jc w:val="center"/>
              <w:rPr>
                <w:szCs w:val="21"/>
              </w:rPr>
            </w:pPr>
            <w:r>
              <w:rPr>
                <w:szCs w:val="21"/>
              </w:rPr>
              <w:t>第一个行权期</w:t>
            </w:r>
          </w:p>
        </w:tc>
        <w:tc>
          <w:tcPr>
            <w:tcW w:w="4961" w:type="dxa"/>
            <w:vAlign w:val="center"/>
          </w:tcPr>
          <w:p w14:paraId="0EE40383" w14:textId="77777777" w:rsidR="00BD675F" w:rsidRDefault="00BD675F" w:rsidP="00007265">
            <w:pPr>
              <w:rPr>
                <w:szCs w:val="21"/>
              </w:rPr>
            </w:pPr>
            <w:r>
              <w:rPr>
                <w:szCs w:val="21"/>
              </w:rPr>
              <w:t>自预留授予部分股票期权授权日起</w:t>
            </w:r>
            <w:r>
              <w:rPr>
                <w:szCs w:val="21"/>
              </w:rPr>
              <w:t>12</w:t>
            </w:r>
            <w:r>
              <w:rPr>
                <w:szCs w:val="21"/>
              </w:rPr>
              <w:t>个月后的首个交易日起至预留授予部分股票期权授权日起</w:t>
            </w:r>
            <w:r>
              <w:rPr>
                <w:szCs w:val="21"/>
              </w:rPr>
              <w:t>24</w:t>
            </w:r>
            <w:r>
              <w:rPr>
                <w:szCs w:val="21"/>
              </w:rPr>
              <w:t>个月内的最后一个交易日当日止</w:t>
            </w:r>
          </w:p>
        </w:tc>
        <w:tc>
          <w:tcPr>
            <w:tcW w:w="1730" w:type="dxa"/>
            <w:vAlign w:val="center"/>
          </w:tcPr>
          <w:p w14:paraId="5C677488" w14:textId="77777777" w:rsidR="00BD675F" w:rsidRDefault="00BD675F" w:rsidP="00007265">
            <w:pPr>
              <w:jc w:val="center"/>
              <w:rPr>
                <w:szCs w:val="21"/>
              </w:rPr>
            </w:pPr>
            <w:r>
              <w:rPr>
                <w:szCs w:val="21"/>
              </w:rPr>
              <w:t>30%</w:t>
            </w:r>
          </w:p>
        </w:tc>
      </w:tr>
      <w:tr w:rsidR="00BD675F" w14:paraId="1629052C" w14:textId="77777777" w:rsidTr="00007265">
        <w:trPr>
          <w:trHeight w:val="1020"/>
        </w:trPr>
        <w:tc>
          <w:tcPr>
            <w:tcW w:w="1951" w:type="dxa"/>
            <w:vAlign w:val="center"/>
          </w:tcPr>
          <w:p w14:paraId="6094B0DD" w14:textId="77777777" w:rsidR="00BD675F" w:rsidRDefault="00BD675F" w:rsidP="00007265">
            <w:pPr>
              <w:jc w:val="center"/>
              <w:rPr>
                <w:szCs w:val="21"/>
              </w:rPr>
            </w:pPr>
            <w:r>
              <w:rPr>
                <w:szCs w:val="21"/>
              </w:rPr>
              <w:t>第二个行权期</w:t>
            </w:r>
          </w:p>
        </w:tc>
        <w:tc>
          <w:tcPr>
            <w:tcW w:w="4961" w:type="dxa"/>
            <w:vAlign w:val="center"/>
          </w:tcPr>
          <w:p w14:paraId="435206D8" w14:textId="77777777" w:rsidR="00BD675F" w:rsidRDefault="00BD675F" w:rsidP="00007265">
            <w:pPr>
              <w:rPr>
                <w:szCs w:val="21"/>
              </w:rPr>
            </w:pPr>
            <w:r>
              <w:rPr>
                <w:szCs w:val="21"/>
              </w:rPr>
              <w:t>自预留授予部分股票期权授权日起</w:t>
            </w:r>
            <w:r>
              <w:rPr>
                <w:szCs w:val="21"/>
              </w:rPr>
              <w:t>24</w:t>
            </w:r>
            <w:r>
              <w:rPr>
                <w:szCs w:val="21"/>
              </w:rPr>
              <w:t>个月后的首个交易日起至预留授予部分股票期权授权日起</w:t>
            </w:r>
            <w:r>
              <w:rPr>
                <w:szCs w:val="21"/>
              </w:rPr>
              <w:t>36</w:t>
            </w:r>
            <w:r>
              <w:rPr>
                <w:szCs w:val="21"/>
              </w:rPr>
              <w:t>个月内的最后一个交易日当日止</w:t>
            </w:r>
          </w:p>
        </w:tc>
        <w:tc>
          <w:tcPr>
            <w:tcW w:w="1730" w:type="dxa"/>
            <w:vAlign w:val="center"/>
          </w:tcPr>
          <w:p w14:paraId="3CDD7046" w14:textId="77777777" w:rsidR="00BD675F" w:rsidRDefault="00BD675F" w:rsidP="00007265">
            <w:pPr>
              <w:jc w:val="center"/>
              <w:rPr>
                <w:szCs w:val="21"/>
              </w:rPr>
            </w:pPr>
            <w:r>
              <w:rPr>
                <w:szCs w:val="21"/>
              </w:rPr>
              <w:t>30%</w:t>
            </w:r>
          </w:p>
        </w:tc>
      </w:tr>
      <w:tr w:rsidR="00BD675F" w14:paraId="034872B4" w14:textId="77777777" w:rsidTr="00007265">
        <w:trPr>
          <w:trHeight w:val="1020"/>
        </w:trPr>
        <w:tc>
          <w:tcPr>
            <w:tcW w:w="1951" w:type="dxa"/>
            <w:vAlign w:val="center"/>
          </w:tcPr>
          <w:p w14:paraId="3EB8375C" w14:textId="77777777" w:rsidR="00BD675F" w:rsidRDefault="00BD675F" w:rsidP="00007265">
            <w:pPr>
              <w:jc w:val="center"/>
              <w:rPr>
                <w:szCs w:val="21"/>
              </w:rPr>
            </w:pPr>
            <w:r>
              <w:rPr>
                <w:szCs w:val="21"/>
              </w:rPr>
              <w:t>第</w:t>
            </w:r>
            <w:r>
              <w:rPr>
                <w:rFonts w:hint="eastAsia"/>
                <w:szCs w:val="21"/>
              </w:rPr>
              <w:t>三</w:t>
            </w:r>
            <w:r>
              <w:rPr>
                <w:szCs w:val="21"/>
              </w:rPr>
              <w:t>个行权期</w:t>
            </w:r>
          </w:p>
        </w:tc>
        <w:tc>
          <w:tcPr>
            <w:tcW w:w="4961" w:type="dxa"/>
            <w:vAlign w:val="center"/>
          </w:tcPr>
          <w:p w14:paraId="3C309E1D" w14:textId="77777777" w:rsidR="00BD675F" w:rsidRDefault="00BD675F" w:rsidP="00007265">
            <w:pPr>
              <w:rPr>
                <w:szCs w:val="21"/>
              </w:rPr>
            </w:pPr>
            <w:r>
              <w:rPr>
                <w:szCs w:val="21"/>
              </w:rPr>
              <w:t>自预留授予部分股票期权授权日起</w:t>
            </w:r>
            <w:r>
              <w:rPr>
                <w:szCs w:val="21"/>
              </w:rPr>
              <w:t>36</w:t>
            </w:r>
            <w:r>
              <w:rPr>
                <w:szCs w:val="21"/>
              </w:rPr>
              <w:t>个月后的首个交易日起至预留授予部分股票期权授权日起</w:t>
            </w:r>
            <w:r>
              <w:rPr>
                <w:szCs w:val="21"/>
              </w:rPr>
              <w:t>48</w:t>
            </w:r>
            <w:r>
              <w:rPr>
                <w:szCs w:val="21"/>
              </w:rPr>
              <w:t>个月内的最后一个交易日当日止</w:t>
            </w:r>
          </w:p>
        </w:tc>
        <w:tc>
          <w:tcPr>
            <w:tcW w:w="1730" w:type="dxa"/>
            <w:vAlign w:val="center"/>
          </w:tcPr>
          <w:p w14:paraId="302E8246" w14:textId="77777777" w:rsidR="00BD675F" w:rsidRDefault="00BD675F" w:rsidP="00007265">
            <w:pPr>
              <w:jc w:val="center"/>
              <w:rPr>
                <w:szCs w:val="21"/>
              </w:rPr>
            </w:pPr>
            <w:r>
              <w:rPr>
                <w:szCs w:val="21"/>
              </w:rPr>
              <w:t>40%</w:t>
            </w:r>
          </w:p>
        </w:tc>
      </w:tr>
    </w:tbl>
    <w:p w14:paraId="72EE0E83" w14:textId="0D650A82" w:rsidR="00B123BC" w:rsidRPr="00BD675F" w:rsidRDefault="00B123BC" w:rsidP="00BD675F">
      <w:pPr>
        <w:pStyle w:val="12"/>
        <w:widowControl/>
        <w:overflowPunct w:val="0"/>
        <w:autoSpaceDE/>
        <w:autoSpaceDN/>
        <w:adjustRightInd w:val="0"/>
        <w:snapToGrid w:val="0"/>
        <w:spacing w:beforeLines="50" w:before="156" w:line="360" w:lineRule="auto"/>
        <w:ind w:left="0" w:firstLineChars="200" w:firstLine="480"/>
        <w:jc w:val="both"/>
        <w:rPr>
          <w:rFonts w:ascii="Times New Roman" w:hAnsi="Times New Roman" w:hint="default"/>
          <w:snapToGrid w:val="0"/>
          <w:sz w:val="24"/>
          <w:szCs w:val="20"/>
        </w:rPr>
      </w:pPr>
      <w:r w:rsidRPr="00BD675F">
        <w:rPr>
          <w:rFonts w:ascii="Times New Roman" w:hAnsi="Times New Roman"/>
          <w:snapToGrid w:val="0"/>
          <w:sz w:val="24"/>
          <w:szCs w:val="20"/>
        </w:rPr>
        <w:t>在上述约定期间因行权条件未成就的股票期权，不得行权或递延至下期行权，并由公司按本激励计划规定的原则注销激励对象相应的股票期权。在股票期权各行权期结束后，激励对象未行权的当期股票期权应当终止行权，公司将予以注销。</w:t>
      </w:r>
    </w:p>
    <w:p w14:paraId="4CAF91A7" w14:textId="36B25831" w:rsidR="0071537A" w:rsidRDefault="00E91F81">
      <w:pPr>
        <w:pStyle w:val="a6"/>
        <w:widowControl/>
        <w:overflowPunct w:val="0"/>
        <w:autoSpaceDE/>
        <w:autoSpaceDN/>
        <w:spacing w:before="0" w:line="360" w:lineRule="auto"/>
        <w:ind w:leftChars="200" w:left="420"/>
        <w:jc w:val="both"/>
        <w:rPr>
          <w:rFonts w:ascii="Times New Roman" w:hAnsi="Times New Roman" w:hint="default"/>
          <w:snapToGrid w:val="0"/>
        </w:rPr>
      </w:pPr>
      <w:r>
        <w:rPr>
          <w:rFonts w:ascii="Times New Roman" w:hAnsi="Times New Roman" w:hint="default"/>
          <w:snapToGrid w:val="0"/>
        </w:rPr>
        <w:lastRenderedPageBreak/>
        <w:t>8</w:t>
      </w:r>
      <w:r>
        <w:rPr>
          <w:rFonts w:ascii="Times New Roman" w:hAnsi="Times New Roman"/>
          <w:snapToGrid w:val="0"/>
        </w:rPr>
        <w:t>、股票期权的行权条件</w:t>
      </w:r>
    </w:p>
    <w:p w14:paraId="0673A497" w14:textId="2D5E67A8" w:rsidR="0071537A" w:rsidRDefault="00E91F81">
      <w:pPr>
        <w:pStyle w:val="a6"/>
        <w:widowControl/>
        <w:overflowPunct w:val="0"/>
        <w:autoSpaceDE/>
        <w:autoSpaceDN/>
        <w:spacing w:before="0" w:line="360" w:lineRule="auto"/>
        <w:ind w:left="0" w:firstLineChars="200" w:firstLine="480"/>
        <w:jc w:val="both"/>
        <w:rPr>
          <w:rFonts w:ascii="Times New Roman" w:hAnsi="Times New Roman" w:hint="default"/>
          <w:color w:val="000000"/>
        </w:rPr>
      </w:pPr>
      <w:r w:rsidRPr="0089362F">
        <w:rPr>
          <w:rFonts w:ascii="Times New Roman" w:hAnsi="Times New Roman"/>
          <w:color w:val="000000"/>
        </w:rPr>
        <w:t>（</w:t>
      </w:r>
      <w:r w:rsidRPr="0089362F">
        <w:rPr>
          <w:rFonts w:ascii="Times New Roman" w:hAnsi="Times New Roman" w:hint="default"/>
          <w:color w:val="000000"/>
        </w:rPr>
        <w:t>1</w:t>
      </w:r>
      <w:r w:rsidRPr="0089362F">
        <w:rPr>
          <w:rFonts w:ascii="Times New Roman" w:hAnsi="Times New Roman"/>
          <w:color w:val="000000"/>
        </w:rPr>
        <w:t>）公司层面</w:t>
      </w:r>
      <w:r w:rsidR="00B123BC">
        <w:rPr>
          <w:rFonts w:ascii="Times New Roman" w:hAnsi="Times New Roman"/>
          <w:color w:val="000000"/>
        </w:rPr>
        <w:t>的</w:t>
      </w:r>
      <w:r w:rsidRPr="0089362F">
        <w:rPr>
          <w:rFonts w:ascii="Times New Roman" w:hAnsi="Times New Roman"/>
          <w:color w:val="000000"/>
        </w:rPr>
        <w:t>业绩考核要求</w:t>
      </w:r>
    </w:p>
    <w:p w14:paraId="431FFCD9" w14:textId="0C26940B" w:rsidR="00B123BC" w:rsidRDefault="00B123BC">
      <w:pPr>
        <w:pStyle w:val="a6"/>
        <w:widowControl/>
        <w:overflowPunct w:val="0"/>
        <w:autoSpaceDE/>
        <w:autoSpaceDN/>
        <w:spacing w:before="0" w:line="360" w:lineRule="auto"/>
        <w:ind w:left="0" w:firstLineChars="200" w:firstLine="480"/>
        <w:jc w:val="both"/>
        <w:rPr>
          <w:rFonts w:ascii="Times New Roman" w:hAnsi="Times New Roman" w:hint="default"/>
          <w:color w:val="000000"/>
        </w:rPr>
      </w:pPr>
      <w:r w:rsidRPr="00B123BC">
        <w:rPr>
          <w:rFonts w:ascii="Times New Roman" w:hAnsi="Times New Roman"/>
          <w:color w:val="000000"/>
        </w:rPr>
        <w:t>本激励计划在</w:t>
      </w:r>
      <w:r w:rsidRPr="00B123BC">
        <w:rPr>
          <w:rFonts w:ascii="Times New Roman" w:hAnsi="Times New Roman"/>
          <w:color w:val="000000"/>
        </w:rPr>
        <w:t>2022</w:t>
      </w:r>
      <w:r w:rsidRPr="00B123BC">
        <w:rPr>
          <w:rFonts w:ascii="Times New Roman" w:hAnsi="Times New Roman"/>
          <w:color w:val="000000"/>
        </w:rPr>
        <w:t>年</w:t>
      </w:r>
      <w:r w:rsidRPr="00B123BC">
        <w:rPr>
          <w:rFonts w:ascii="Times New Roman" w:hAnsi="Times New Roman"/>
          <w:color w:val="000000"/>
        </w:rPr>
        <w:t>-2024</w:t>
      </w:r>
      <w:r w:rsidRPr="00B123BC">
        <w:rPr>
          <w:rFonts w:ascii="Times New Roman" w:hAnsi="Times New Roman"/>
          <w:color w:val="000000"/>
        </w:rPr>
        <w:t>年会计年度中，分年度对公司的业绩指标进行考核，以达到业绩考核目标作为激励对象当年度的行权条件之一。</w:t>
      </w:r>
    </w:p>
    <w:p w14:paraId="3F0A1DB2" w14:textId="2D8A0AB1" w:rsidR="00B123BC" w:rsidRPr="00B123BC" w:rsidRDefault="00261117">
      <w:pPr>
        <w:pStyle w:val="a6"/>
        <w:widowControl/>
        <w:overflowPunct w:val="0"/>
        <w:autoSpaceDE/>
        <w:autoSpaceDN/>
        <w:spacing w:before="0" w:line="360" w:lineRule="auto"/>
        <w:ind w:left="0" w:firstLineChars="200" w:firstLine="480"/>
        <w:jc w:val="both"/>
        <w:rPr>
          <w:rFonts w:ascii="Times New Roman" w:hAnsi="Times New Roman" w:hint="default"/>
          <w:color w:val="000000"/>
        </w:rPr>
      </w:pPr>
      <w:r>
        <w:rPr>
          <w:rFonts w:ascii="Times New Roman" w:hAnsi="Times New Roman"/>
          <w:color w:val="000000"/>
        </w:rPr>
        <w:t>预留部分</w:t>
      </w:r>
      <w:r w:rsidR="00B123BC" w:rsidRPr="00B123BC">
        <w:rPr>
          <w:rFonts w:ascii="Times New Roman" w:hAnsi="Times New Roman"/>
          <w:color w:val="000000"/>
        </w:rPr>
        <w:t>股票期权的公司层面业绩考核目标如下表所示：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54"/>
        <w:gridCol w:w="6749"/>
      </w:tblGrid>
      <w:tr w:rsidR="006E48D1" w:rsidRPr="00A40742" w14:paraId="4CE6AF4E" w14:textId="77777777" w:rsidTr="00BF6924">
        <w:trPr>
          <w:trHeight w:val="454"/>
          <w:jc w:val="center"/>
        </w:trPr>
        <w:tc>
          <w:tcPr>
            <w:tcW w:w="936" w:type="pct"/>
            <w:shd w:val="clear" w:color="auto" w:fill="F2F2F2"/>
            <w:vAlign w:val="center"/>
          </w:tcPr>
          <w:p w14:paraId="6D1781D1" w14:textId="77777777" w:rsidR="006E48D1" w:rsidRPr="00A40742" w:rsidRDefault="006E48D1" w:rsidP="002461F5">
            <w:pPr>
              <w:widowControl/>
              <w:spacing w:line="360" w:lineRule="auto"/>
              <w:jc w:val="center"/>
              <w:rPr>
                <w:rFonts w:ascii="Times" w:hAnsi="Times" w:cs="宋体"/>
                <w:b/>
                <w:color w:val="000000"/>
                <w:szCs w:val="21"/>
              </w:rPr>
            </w:pPr>
            <w:r w:rsidRPr="00A40742">
              <w:rPr>
                <w:rFonts w:ascii="Times" w:hAnsi="Times" w:cs="宋体"/>
                <w:b/>
                <w:color w:val="000000"/>
                <w:szCs w:val="21"/>
              </w:rPr>
              <w:t>行权期</w:t>
            </w:r>
          </w:p>
        </w:tc>
        <w:tc>
          <w:tcPr>
            <w:tcW w:w="4064" w:type="pct"/>
            <w:shd w:val="clear" w:color="auto" w:fill="F2F2F2"/>
            <w:vAlign w:val="center"/>
          </w:tcPr>
          <w:p w14:paraId="39DC20E4" w14:textId="77777777" w:rsidR="006E48D1" w:rsidRPr="00A40742" w:rsidRDefault="006E48D1" w:rsidP="002461F5">
            <w:pPr>
              <w:widowControl/>
              <w:spacing w:line="360" w:lineRule="auto"/>
              <w:jc w:val="center"/>
              <w:rPr>
                <w:rFonts w:ascii="Times" w:hAnsi="Times" w:cs="宋体"/>
                <w:b/>
                <w:color w:val="000000"/>
                <w:szCs w:val="21"/>
              </w:rPr>
            </w:pPr>
            <w:r w:rsidRPr="00A40742">
              <w:rPr>
                <w:rFonts w:ascii="Times" w:hAnsi="Times" w:cs="宋体"/>
                <w:b/>
                <w:color w:val="000000"/>
                <w:szCs w:val="21"/>
              </w:rPr>
              <w:t>业绩考核目标</w:t>
            </w:r>
          </w:p>
        </w:tc>
      </w:tr>
      <w:tr w:rsidR="006E48D1" w:rsidRPr="00A40742" w14:paraId="189987BC" w14:textId="77777777" w:rsidTr="00BF6924">
        <w:trPr>
          <w:trHeight w:val="567"/>
          <w:jc w:val="center"/>
        </w:trPr>
        <w:tc>
          <w:tcPr>
            <w:tcW w:w="936" w:type="pct"/>
            <w:shd w:val="clear" w:color="auto" w:fill="FFFFFF"/>
            <w:vAlign w:val="center"/>
          </w:tcPr>
          <w:p w14:paraId="48E0336E" w14:textId="77777777" w:rsidR="006E48D1" w:rsidRPr="00A40742" w:rsidRDefault="006E48D1" w:rsidP="002461F5">
            <w:pPr>
              <w:widowControl/>
              <w:spacing w:line="360" w:lineRule="auto"/>
              <w:jc w:val="center"/>
              <w:rPr>
                <w:rFonts w:ascii="Times" w:hAnsi="Times" w:cs="宋体"/>
                <w:color w:val="000000"/>
                <w:szCs w:val="21"/>
              </w:rPr>
            </w:pPr>
            <w:r w:rsidRPr="00A40742">
              <w:rPr>
                <w:rFonts w:ascii="Times" w:hAnsi="Times" w:cs="宋体"/>
                <w:color w:val="000000"/>
                <w:szCs w:val="21"/>
              </w:rPr>
              <w:t>第一个行权期</w:t>
            </w:r>
          </w:p>
        </w:tc>
        <w:tc>
          <w:tcPr>
            <w:tcW w:w="4064" w:type="pct"/>
            <w:shd w:val="clear" w:color="auto" w:fill="FFFFFF"/>
            <w:vAlign w:val="center"/>
          </w:tcPr>
          <w:p w14:paraId="5C21D29C" w14:textId="77777777" w:rsidR="006E48D1" w:rsidRPr="00A40742" w:rsidRDefault="006E48D1" w:rsidP="002461F5">
            <w:pPr>
              <w:widowControl/>
              <w:spacing w:line="360" w:lineRule="auto"/>
              <w:rPr>
                <w:rFonts w:ascii="Times" w:hAnsi="Times"/>
                <w:color w:val="000000"/>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2022</w:t>
            </w:r>
            <w:r w:rsidRPr="00A40742">
              <w:rPr>
                <w:rFonts w:ascii="Times" w:hAnsi="Times"/>
                <w:szCs w:val="18"/>
              </w:rPr>
              <w:t>年营业收入增长率不低于</w:t>
            </w:r>
            <w:r w:rsidRPr="00A40742">
              <w:rPr>
                <w:rFonts w:ascii="Times" w:hAnsi="Times"/>
                <w:szCs w:val="18"/>
              </w:rPr>
              <w:t>10.00%</w:t>
            </w:r>
          </w:p>
        </w:tc>
      </w:tr>
      <w:tr w:rsidR="006E48D1" w:rsidRPr="00A40742" w14:paraId="2A7DA2E1" w14:textId="77777777" w:rsidTr="00BF6924">
        <w:trPr>
          <w:trHeight w:val="567"/>
          <w:jc w:val="center"/>
        </w:trPr>
        <w:tc>
          <w:tcPr>
            <w:tcW w:w="936" w:type="pct"/>
            <w:shd w:val="clear" w:color="auto" w:fill="FFFFFF"/>
            <w:vAlign w:val="center"/>
          </w:tcPr>
          <w:p w14:paraId="54F901B3" w14:textId="77777777" w:rsidR="006E48D1" w:rsidRPr="00A40742" w:rsidRDefault="006E48D1" w:rsidP="002461F5">
            <w:pPr>
              <w:widowControl/>
              <w:spacing w:line="360" w:lineRule="auto"/>
              <w:jc w:val="center"/>
              <w:rPr>
                <w:rFonts w:ascii="Times" w:hAnsi="Times" w:cs="宋体"/>
                <w:color w:val="000000"/>
                <w:szCs w:val="21"/>
              </w:rPr>
            </w:pPr>
            <w:r w:rsidRPr="00A40742">
              <w:rPr>
                <w:rFonts w:ascii="Times" w:hAnsi="Times" w:cs="宋体"/>
                <w:color w:val="000000"/>
                <w:szCs w:val="21"/>
              </w:rPr>
              <w:t>第二个行权期</w:t>
            </w:r>
          </w:p>
        </w:tc>
        <w:tc>
          <w:tcPr>
            <w:tcW w:w="4064" w:type="pct"/>
            <w:shd w:val="clear" w:color="auto" w:fill="FFFFFF"/>
            <w:vAlign w:val="center"/>
          </w:tcPr>
          <w:p w14:paraId="6FC31806" w14:textId="77777777" w:rsidR="006E48D1" w:rsidRPr="00A40742" w:rsidRDefault="006E48D1" w:rsidP="002461F5">
            <w:pPr>
              <w:widowControl/>
              <w:spacing w:line="360" w:lineRule="auto"/>
              <w:rPr>
                <w:rFonts w:ascii="Times" w:hAnsi="Times"/>
                <w:color w:val="000000"/>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2023</w:t>
            </w:r>
            <w:r w:rsidRPr="00A40742">
              <w:rPr>
                <w:rFonts w:ascii="Times" w:hAnsi="Times"/>
                <w:szCs w:val="18"/>
              </w:rPr>
              <w:t>年营业收入增长率不低于</w:t>
            </w:r>
            <w:r w:rsidRPr="00A40742">
              <w:rPr>
                <w:rFonts w:ascii="Times" w:hAnsi="Times"/>
                <w:szCs w:val="18"/>
              </w:rPr>
              <w:t>18.00%</w:t>
            </w:r>
          </w:p>
        </w:tc>
      </w:tr>
      <w:tr w:rsidR="006E48D1" w:rsidRPr="00A40742" w14:paraId="254D1993" w14:textId="77777777" w:rsidTr="00BF6924">
        <w:trPr>
          <w:trHeight w:val="567"/>
          <w:jc w:val="center"/>
        </w:trPr>
        <w:tc>
          <w:tcPr>
            <w:tcW w:w="936" w:type="pct"/>
            <w:shd w:val="clear" w:color="auto" w:fill="FFFFFF"/>
            <w:vAlign w:val="center"/>
          </w:tcPr>
          <w:p w14:paraId="30DE5F97" w14:textId="77777777" w:rsidR="006E48D1" w:rsidRPr="00A40742" w:rsidRDefault="006E48D1" w:rsidP="002461F5">
            <w:pPr>
              <w:widowControl/>
              <w:spacing w:line="360" w:lineRule="auto"/>
              <w:jc w:val="center"/>
              <w:rPr>
                <w:rFonts w:ascii="Times" w:hAnsi="Times" w:cs="宋体"/>
                <w:color w:val="000000"/>
                <w:szCs w:val="21"/>
              </w:rPr>
            </w:pPr>
            <w:r w:rsidRPr="00A40742">
              <w:rPr>
                <w:rFonts w:ascii="Times" w:hAnsi="Times" w:cs="宋体"/>
                <w:color w:val="000000"/>
                <w:szCs w:val="21"/>
              </w:rPr>
              <w:t>第三个行权期</w:t>
            </w:r>
          </w:p>
        </w:tc>
        <w:tc>
          <w:tcPr>
            <w:tcW w:w="4064" w:type="pct"/>
            <w:shd w:val="clear" w:color="auto" w:fill="FFFFFF"/>
            <w:vAlign w:val="center"/>
          </w:tcPr>
          <w:p w14:paraId="5E05F321" w14:textId="77777777" w:rsidR="006E48D1" w:rsidRPr="00A40742" w:rsidRDefault="006E48D1" w:rsidP="002461F5">
            <w:pPr>
              <w:widowControl/>
              <w:spacing w:line="360" w:lineRule="auto"/>
              <w:rPr>
                <w:rFonts w:ascii="Times" w:hAnsi="Times"/>
                <w:kern w:val="32"/>
                <w:szCs w:val="21"/>
              </w:rPr>
            </w:pPr>
            <w:r w:rsidRPr="00A40742">
              <w:rPr>
                <w:rFonts w:ascii="Times" w:hAnsi="Times"/>
                <w:szCs w:val="18"/>
              </w:rPr>
              <w:t>以公司</w:t>
            </w:r>
            <w:r w:rsidRPr="00A40742">
              <w:rPr>
                <w:rFonts w:ascii="Times" w:hAnsi="Times"/>
                <w:szCs w:val="18"/>
              </w:rPr>
              <w:t>2021</w:t>
            </w:r>
            <w:r w:rsidRPr="00A40742">
              <w:rPr>
                <w:rFonts w:ascii="Times" w:hAnsi="Times"/>
                <w:szCs w:val="18"/>
              </w:rPr>
              <w:t>年营业收入为基数，</w:t>
            </w:r>
            <w:r w:rsidRPr="00A40742">
              <w:rPr>
                <w:rFonts w:ascii="Times" w:hAnsi="Times"/>
                <w:szCs w:val="18"/>
              </w:rPr>
              <w:t>2024</w:t>
            </w:r>
            <w:r w:rsidRPr="00A40742">
              <w:rPr>
                <w:rFonts w:ascii="Times" w:hAnsi="Times"/>
                <w:szCs w:val="18"/>
              </w:rPr>
              <w:t>年营业收入增长率不低于</w:t>
            </w:r>
            <w:r w:rsidRPr="00A40742">
              <w:rPr>
                <w:rFonts w:ascii="Times" w:hAnsi="Times"/>
                <w:szCs w:val="18"/>
              </w:rPr>
              <w:t>30.00%</w:t>
            </w:r>
          </w:p>
        </w:tc>
      </w:tr>
    </w:tbl>
    <w:p w14:paraId="19DAD50D" w14:textId="77777777" w:rsidR="006E48D1" w:rsidRPr="00A40742" w:rsidRDefault="006E48D1" w:rsidP="006E48D1">
      <w:pPr>
        <w:widowControl/>
        <w:spacing w:line="360" w:lineRule="auto"/>
        <w:ind w:firstLineChars="200" w:firstLine="420"/>
        <w:rPr>
          <w:rFonts w:ascii="Times" w:hAnsi="Times"/>
          <w:color w:val="000000"/>
          <w:szCs w:val="21"/>
        </w:rPr>
      </w:pPr>
      <w:r w:rsidRPr="00A40742">
        <w:rPr>
          <w:rFonts w:ascii="Times" w:hAnsi="Times" w:cs="Arial"/>
          <w:szCs w:val="24"/>
        </w:rPr>
        <w:t>注：上述</w:t>
      </w:r>
      <w:r w:rsidRPr="00A40742">
        <w:rPr>
          <w:rFonts w:ascii="Times" w:hAnsi="Times" w:cs="Arial"/>
          <w:szCs w:val="24"/>
        </w:rPr>
        <w:t>“</w:t>
      </w:r>
      <w:r w:rsidRPr="00A40742">
        <w:rPr>
          <w:rFonts w:ascii="Times" w:hAnsi="Times" w:cs="Arial"/>
          <w:szCs w:val="24"/>
        </w:rPr>
        <w:t>营业收入</w:t>
      </w:r>
      <w:r w:rsidRPr="00A40742">
        <w:rPr>
          <w:rFonts w:ascii="Times" w:hAnsi="Times" w:cs="Arial"/>
          <w:szCs w:val="24"/>
        </w:rPr>
        <w:t>”</w:t>
      </w:r>
      <w:r w:rsidRPr="00A40742">
        <w:rPr>
          <w:rFonts w:ascii="Times" w:hAnsi="Times" w:cs="Arial"/>
          <w:szCs w:val="24"/>
        </w:rPr>
        <w:t>指经审计的上市公司营业收入。</w:t>
      </w:r>
    </w:p>
    <w:p w14:paraId="0BB93AAF" w14:textId="5C5E4BB6" w:rsidR="00B123BC" w:rsidRDefault="00B123BC" w:rsidP="00BD675F">
      <w:pPr>
        <w:pStyle w:val="a6"/>
        <w:widowControl/>
        <w:overflowPunct w:val="0"/>
        <w:autoSpaceDE/>
        <w:autoSpaceDN/>
        <w:spacing w:before="0" w:line="360" w:lineRule="auto"/>
        <w:ind w:left="0" w:firstLineChars="200" w:firstLine="480"/>
        <w:jc w:val="both"/>
        <w:rPr>
          <w:rFonts w:ascii="Times" w:eastAsiaTheme="minorEastAsia" w:hAnsi="Times" w:hint="default"/>
          <w:color w:val="000000"/>
          <w:szCs w:val="24"/>
        </w:rPr>
      </w:pPr>
      <w:r w:rsidRPr="00B123BC">
        <w:rPr>
          <w:rFonts w:ascii="Times" w:eastAsiaTheme="minorEastAsia" w:hAnsi="Times"/>
          <w:color w:val="000000"/>
          <w:szCs w:val="24"/>
        </w:rPr>
        <w:t>行权期内，公司为满足行权条件的激励对象办理行权事宜。若各行权期内，公司当期业绩水平未达到业绩考核目标条件的，所有激励对象对应考核当年可行权的股票</w:t>
      </w:r>
      <w:proofErr w:type="gramStart"/>
      <w:r w:rsidRPr="00B123BC">
        <w:rPr>
          <w:rFonts w:ascii="Times" w:eastAsiaTheme="minorEastAsia" w:hAnsi="Times"/>
          <w:color w:val="000000"/>
          <w:szCs w:val="24"/>
        </w:rPr>
        <w:t>期权均</w:t>
      </w:r>
      <w:proofErr w:type="gramEnd"/>
      <w:r w:rsidRPr="00B123BC">
        <w:rPr>
          <w:rFonts w:ascii="Times" w:eastAsiaTheme="minorEastAsia" w:hAnsi="Times"/>
          <w:color w:val="000000"/>
          <w:szCs w:val="24"/>
        </w:rPr>
        <w:t>不得行权，公司注销激励对象股票期权当期可行权份额。</w:t>
      </w:r>
    </w:p>
    <w:p w14:paraId="71C3C42B" w14:textId="76C838E6" w:rsidR="0071537A" w:rsidRPr="0089362F" w:rsidRDefault="00E91F81">
      <w:pPr>
        <w:pStyle w:val="a6"/>
        <w:widowControl/>
        <w:overflowPunct w:val="0"/>
        <w:autoSpaceDE/>
        <w:autoSpaceDN/>
        <w:spacing w:before="0" w:line="360" w:lineRule="auto"/>
        <w:ind w:left="0" w:firstLineChars="200" w:firstLine="480"/>
        <w:jc w:val="both"/>
        <w:rPr>
          <w:rFonts w:ascii="Times New Roman" w:hAnsi="Times New Roman" w:hint="default"/>
          <w:color w:val="000000"/>
        </w:rPr>
      </w:pPr>
      <w:r w:rsidRPr="0089362F">
        <w:rPr>
          <w:rFonts w:ascii="Times New Roman" w:hAnsi="Times New Roman"/>
          <w:color w:val="000000"/>
        </w:rPr>
        <w:t>（</w:t>
      </w:r>
      <w:r w:rsidRPr="0089362F">
        <w:rPr>
          <w:rFonts w:ascii="Times New Roman" w:hAnsi="Times New Roman" w:hint="default"/>
          <w:color w:val="000000"/>
        </w:rPr>
        <w:t>2</w:t>
      </w:r>
      <w:r w:rsidRPr="0089362F">
        <w:rPr>
          <w:rFonts w:ascii="Times New Roman" w:hAnsi="Times New Roman"/>
          <w:color w:val="000000"/>
        </w:rPr>
        <w:t>）激励对象个人层面</w:t>
      </w:r>
      <w:r w:rsidR="00B123BC">
        <w:rPr>
          <w:rFonts w:ascii="Times New Roman" w:hAnsi="Times New Roman"/>
          <w:color w:val="000000"/>
        </w:rPr>
        <w:t>的绩效</w:t>
      </w:r>
      <w:r w:rsidRPr="0089362F">
        <w:rPr>
          <w:rFonts w:ascii="Times New Roman" w:hAnsi="Times New Roman"/>
          <w:color w:val="000000"/>
        </w:rPr>
        <w:t>考核要求</w:t>
      </w:r>
    </w:p>
    <w:p w14:paraId="3E5AF014" w14:textId="77777777" w:rsidR="006E48D1" w:rsidRPr="00A40742" w:rsidRDefault="006E48D1" w:rsidP="006E48D1">
      <w:pPr>
        <w:autoSpaceDE w:val="0"/>
        <w:autoSpaceDN w:val="0"/>
        <w:adjustRightInd w:val="0"/>
        <w:spacing w:line="360" w:lineRule="auto"/>
        <w:ind w:firstLineChars="200" w:firstLine="480"/>
        <w:rPr>
          <w:rFonts w:ascii="Times" w:eastAsiaTheme="minorEastAsia" w:hAnsi="Times"/>
          <w:sz w:val="24"/>
        </w:rPr>
      </w:pPr>
      <w:r w:rsidRPr="00A40742">
        <w:rPr>
          <w:rFonts w:ascii="Times" w:eastAsiaTheme="minorEastAsia" w:hAnsi="Times"/>
          <w:sz w:val="24"/>
        </w:rPr>
        <w:t>激励对象个人层面的考核根据公司内部绩效考核相关制度实施。激励对象个人考核评价结果分为</w:t>
      </w:r>
      <w:r w:rsidRPr="00A40742">
        <w:rPr>
          <w:rFonts w:ascii="Times" w:eastAsiaTheme="minorEastAsia" w:hAnsi="Times"/>
          <w:sz w:val="24"/>
        </w:rPr>
        <w:t>“</w:t>
      </w:r>
      <w:r w:rsidRPr="00A40742">
        <w:rPr>
          <w:rFonts w:ascii="Times" w:eastAsiaTheme="minorEastAsia" w:hAnsi="Times"/>
          <w:sz w:val="24"/>
        </w:rPr>
        <w:t>合格</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w:t>
      </w:r>
      <w:r w:rsidRPr="00A40742">
        <w:rPr>
          <w:rFonts w:ascii="Times" w:eastAsiaTheme="minorEastAsia" w:hAnsi="Times"/>
          <w:sz w:val="24"/>
        </w:rPr>
        <w:t>不合格</w:t>
      </w:r>
      <w:r w:rsidRPr="00A40742">
        <w:rPr>
          <w:rFonts w:ascii="Times" w:eastAsiaTheme="minorEastAsia" w:hAnsi="Times"/>
          <w:sz w:val="24"/>
        </w:rPr>
        <w:t>”</w:t>
      </w:r>
      <w:r w:rsidRPr="00A40742">
        <w:rPr>
          <w:rFonts w:ascii="Times" w:eastAsiaTheme="minorEastAsia" w:hAnsi="Times"/>
          <w:sz w:val="24"/>
        </w:rPr>
        <w:t>两个等级。</w:t>
      </w:r>
    </w:p>
    <w:p w14:paraId="175070E9" w14:textId="140F50E1" w:rsidR="0071537A" w:rsidRDefault="006E48D1" w:rsidP="006E48D1">
      <w:pPr>
        <w:pStyle w:val="a6"/>
        <w:widowControl/>
        <w:overflowPunct w:val="0"/>
        <w:autoSpaceDE/>
        <w:autoSpaceDN/>
        <w:spacing w:before="0" w:line="360" w:lineRule="auto"/>
        <w:ind w:left="0" w:firstLineChars="200" w:firstLine="480"/>
        <w:jc w:val="both"/>
        <w:rPr>
          <w:rFonts w:ascii="Times" w:eastAsiaTheme="minorEastAsia" w:hAnsi="Times" w:hint="default"/>
        </w:rPr>
      </w:pPr>
      <w:r w:rsidRPr="00A40742">
        <w:rPr>
          <w:rFonts w:ascii="Times" w:eastAsiaTheme="minorEastAsia" w:hAnsi="Times"/>
        </w:rPr>
        <w:t>在公司业绩目标达成的前提下，若激励对象上一年度个人绩效考核结果达到“合格”，则激励对象对应考核当年的股票期权可全部行权；若激励对象上一年度个人绩效考核结果“不合格”，则激励对象对应考核当年可行权的股票期权全部不得行权。激励对象未能行权的股票期权由公司注销</w:t>
      </w:r>
      <w:r>
        <w:rPr>
          <w:rFonts w:ascii="Times" w:eastAsiaTheme="minorEastAsia" w:hAnsi="Times"/>
        </w:rPr>
        <w:t>。</w:t>
      </w:r>
    </w:p>
    <w:p w14:paraId="2A9E82C9" w14:textId="2BB2A4AB" w:rsidR="00B123BC" w:rsidRDefault="00B123BC" w:rsidP="006E48D1">
      <w:pPr>
        <w:pStyle w:val="a6"/>
        <w:widowControl/>
        <w:overflowPunct w:val="0"/>
        <w:autoSpaceDE/>
        <w:autoSpaceDN/>
        <w:spacing w:before="0" w:line="360" w:lineRule="auto"/>
        <w:ind w:left="0" w:firstLineChars="200" w:firstLine="480"/>
        <w:jc w:val="both"/>
        <w:rPr>
          <w:rFonts w:eastAsiaTheme="minorEastAsia" w:hint="default"/>
          <w:color w:val="000000" w:themeColor="text1"/>
          <w:szCs w:val="24"/>
        </w:rPr>
      </w:pPr>
      <w:r w:rsidRPr="00B123BC">
        <w:rPr>
          <w:rFonts w:eastAsiaTheme="minorEastAsia"/>
          <w:color w:val="000000" w:themeColor="text1"/>
          <w:szCs w:val="24"/>
        </w:rPr>
        <w:t>本激励计划具体考核内容依据《公司2022年股票期权与限制性股票激励计划实施考核管理办法》执行。</w:t>
      </w:r>
    </w:p>
    <w:p w14:paraId="04084E93" w14:textId="77777777" w:rsidR="0071537A" w:rsidRDefault="00E91F81">
      <w:pPr>
        <w:snapToGrid w:val="0"/>
        <w:spacing w:beforeLines="50" w:before="156" w:line="360" w:lineRule="auto"/>
        <w:ind w:firstLineChars="200" w:firstLine="482"/>
        <w:rPr>
          <w:rFonts w:eastAsiaTheme="minorEastAsia"/>
          <w:b/>
          <w:bCs/>
          <w:color w:val="000000" w:themeColor="text1"/>
          <w:sz w:val="24"/>
          <w:szCs w:val="24"/>
        </w:rPr>
      </w:pPr>
      <w:r>
        <w:rPr>
          <w:rFonts w:eastAsiaTheme="minorEastAsia" w:hint="eastAsia"/>
          <w:b/>
          <w:bCs/>
          <w:color w:val="000000" w:themeColor="text1"/>
          <w:sz w:val="24"/>
          <w:szCs w:val="24"/>
        </w:rPr>
        <w:t>三、激励对象名单及获</w:t>
      </w:r>
      <w:proofErr w:type="gramStart"/>
      <w:r>
        <w:rPr>
          <w:rFonts w:eastAsiaTheme="minorEastAsia" w:hint="eastAsia"/>
          <w:b/>
          <w:bCs/>
          <w:color w:val="000000" w:themeColor="text1"/>
          <w:sz w:val="24"/>
          <w:szCs w:val="24"/>
        </w:rPr>
        <w:t>授股票</w:t>
      </w:r>
      <w:proofErr w:type="gramEnd"/>
      <w:r>
        <w:rPr>
          <w:rFonts w:eastAsiaTheme="minorEastAsia" w:hint="eastAsia"/>
          <w:b/>
          <w:bCs/>
          <w:color w:val="000000" w:themeColor="text1"/>
          <w:sz w:val="24"/>
          <w:szCs w:val="24"/>
        </w:rPr>
        <w:t>期权的数量与前次公示情况一致性的说明</w:t>
      </w:r>
    </w:p>
    <w:p w14:paraId="52B5DB6C" w14:textId="3F5C6A87" w:rsidR="0071537A" w:rsidRDefault="007957DF">
      <w:pPr>
        <w:snapToGrid w:val="0"/>
        <w:spacing w:line="360" w:lineRule="auto"/>
        <w:ind w:firstLineChars="200" w:firstLine="480"/>
        <w:rPr>
          <w:rFonts w:eastAsiaTheme="minorEastAsia"/>
          <w:color w:val="000000" w:themeColor="text1"/>
          <w:sz w:val="24"/>
          <w:szCs w:val="24"/>
        </w:rPr>
      </w:pPr>
      <w:r w:rsidRPr="00EB5106">
        <w:rPr>
          <w:rFonts w:ascii="Times" w:eastAsiaTheme="minorEastAsia" w:hAnsi="Times"/>
          <w:sz w:val="24"/>
        </w:rPr>
        <w:t>本次</w:t>
      </w:r>
      <w:r w:rsidR="00BF3E75">
        <w:rPr>
          <w:rFonts w:ascii="Times" w:eastAsiaTheme="minorEastAsia" w:hAnsi="Times" w:hint="eastAsia"/>
          <w:sz w:val="24"/>
        </w:rPr>
        <w:t>预留</w:t>
      </w:r>
      <w:r w:rsidRPr="00EB5106">
        <w:rPr>
          <w:rFonts w:ascii="Times" w:eastAsiaTheme="minorEastAsia" w:hAnsi="Times"/>
          <w:sz w:val="24"/>
        </w:rPr>
        <w:t>授予登记完成的激励对象名单及获</w:t>
      </w:r>
      <w:proofErr w:type="gramStart"/>
      <w:r w:rsidRPr="00EB5106">
        <w:rPr>
          <w:rFonts w:ascii="Times" w:eastAsiaTheme="minorEastAsia" w:hAnsi="Times"/>
          <w:sz w:val="24"/>
        </w:rPr>
        <w:t>授</w:t>
      </w:r>
      <w:r>
        <w:rPr>
          <w:rFonts w:ascii="Times" w:eastAsiaTheme="minorEastAsia" w:hAnsi="Times" w:hint="eastAsia"/>
          <w:sz w:val="24"/>
        </w:rPr>
        <w:t>股票</w:t>
      </w:r>
      <w:proofErr w:type="gramEnd"/>
      <w:r>
        <w:rPr>
          <w:rFonts w:ascii="Times" w:eastAsiaTheme="minorEastAsia" w:hAnsi="Times"/>
          <w:sz w:val="24"/>
        </w:rPr>
        <w:t>期权</w:t>
      </w:r>
      <w:r w:rsidRPr="00EB5106">
        <w:rPr>
          <w:rFonts w:ascii="Times" w:eastAsiaTheme="minorEastAsia" w:hAnsi="Times"/>
          <w:sz w:val="24"/>
        </w:rPr>
        <w:t>的数量与公司</w:t>
      </w:r>
      <w:r w:rsidR="00DE5F84">
        <w:rPr>
          <w:rFonts w:ascii="Times" w:eastAsiaTheme="minorEastAsia" w:hAnsi="Times" w:hint="eastAsia"/>
          <w:sz w:val="24"/>
        </w:rPr>
        <w:t>于</w:t>
      </w:r>
      <w:r w:rsidRPr="00EB5106">
        <w:rPr>
          <w:rFonts w:ascii="Times" w:eastAsiaTheme="minorEastAsia" w:hAnsi="Times"/>
          <w:sz w:val="24"/>
        </w:rPr>
        <w:t>2022</w:t>
      </w:r>
      <w:r w:rsidRPr="00EB5106">
        <w:rPr>
          <w:rFonts w:ascii="Times" w:eastAsiaTheme="minorEastAsia" w:hAnsi="Times"/>
          <w:sz w:val="24"/>
        </w:rPr>
        <w:t>年</w:t>
      </w:r>
      <w:r w:rsidR="00BF3E75">
        <w:rPr>
          <w:rFonts w:ascii="Times" w:eastAsiaTheme="minorEastAsia" w:hAnsi="Times"/>
          <w:sz w:val="24"/>
        </w:rPr>
        <w:t>10</w:t>
      </w:r>
      <w:r w:rsidRPr="00EB5106">
        <w:rPr>
          <w:rFonts w:ascii="Times" w:eastAsiaTheme="minorEastAsia" w:hAnsi="Times"/>
          <w:sz w:val="24"/>
        </w:rPr>
        <w:t>月</w:t>
      </w:r>
      <w:r w:rsidR="00BF3E75">
        <w:rPr>
          <w:rFonts w:ascii="Times" w:eastAsiaTheme="minorEastAsia" w:hAnsi="Times"/>
          <w:sz w:val="24"/>
        </w:rPr>
        <w:t>31</w:t>
      </w:r>
      <w:r w:rsidRPr="00EB5106">
        <w:rPr>
          <w:rFonts w:ascii="Times" w:eastAsiaTheme="minorEastAsia" w:hAnsi="Times"/>
          <w:sz w:val="24"/>
        </w:rPr>
        <w:t>日在巨潮资讯网（</w:t>
      </w:r>
      <w:r w:rsidRPr="00EB5106">
        <w:rPr>
          <w:rFonts w:ascii="Times" w:eastAsiaTheme="minorEastAsia" w:hAnsi="Times"/>
          <w:sz w:val="24"/>
        </w:rPr>
        <w:t>http://www.cninfo.com.cn</w:t>
      </w:r>
      <w:r w:rsidRPr="00EB5106">
        <w:rPr>
          <w:rFonts w:ascii="Times" w:eastAsiaTheme="minorEastAsia" w:hAnsi="Times"/>
          <w:sz w:val="24"/>
        </w:rPr>
        <w:t>）披露的</w:t>
      </w:r>
      <w:r w:rsidR="00872FF0" w:rsidRPr="00872FF0">
        <w:rPr>
          <w:rFonts w:ascii="Times" w:eastAsiaTheme="minorEastAsia" w:hAnsi="Times" w:hint="eastAsia"/>
          <w:sz w:val="24"/>
        </w:rPr>
        <w:t>《</w:t>
      </w:r>
      <w:r w:rsidR="00BF3E75" w:rsidRPr="00BF3E75">
        <w:rPr>
          <w:rFonts w:ascii="Times" w:eastAsiaTheme="minorEastAsia" w:hAnsi="Times" w:hint="eastAsia"/>
          <w:sz w:val="24"/>
        </w:rPr>
        <w:t>关于向激励对象授予预留股票期权的公告</w:t>
      </w:r>
      <w:r w:rsidR="00872FF0" w:rsidRPr="00872FF0">
        <w:rPr>
          <w:rFonts w:ascii="Times" w:eastAsiaTheme="minorEastAsia" w:hAnsi="Times" w:hint="eastAsia"/>
          <w:sz w:val="24"/>
        </w:rPr>
        <w:t>》</w:t>
      </w:r>
      <w:r w:rsidRPr="00EB5106">
        <w:rPr>
          <w:rFonts w:ascii="Times" w:eastAsiaTheme="minorEastAsia" w:hAnsi="Times"/>
          <w:sz w:val="24"/>
        </w:rPr>
        <w:t>《</w:t>
      </w:r>
      <w:r w:rsidR="00BF3E75" w:rsidRPr="00BF3E75">
        <w:rPr>
          <w:rFonts w:ascii="Times" w:eastAsiaTheme="minorEastAsia" w:hAnsi="Times" w:hint="eastAsia"/>
          <w:sz w:val="24"/>
        </w:rPr>
        <w:t>2022</w:t>
      </w:r>
      <w:r w:rsidR="00BF3E75" w:rsidRPr="00BF3E75">
        <w:rPr>
          <w:rFonts w:ascii="Times" w:eastAsiaTheme="minorEastAsia" w:hAnsi="Times" w:hint="eastAsia"/>
          <w:sz w:val="24"/>
        </w:rPr>
        <w:t>年股票期权与限制性股票激励计划预留授予激励对象名单</w:t>
      </w:r>
      <w:r w:rsidRPr="00EB5106">
        <w:rPr>
          <w:rFonts w:ascii="Times" w:eastAsiaTheme="minorEastAsia" w:hAnsi="Times"/>
          <w:sz w:val="24"/>
        </w:rPr>
        <w:t>》一致</w:t>
      </w:r>
      <w:r>
        <w:rPr>
          <w:rFonts w:eastAsiaTheme="minorEastAsia" w:hint="eastAsia"/>
          <w:color w:val="000000" w:themeColor="text1"/>
          <w:sz w:val="24"/>
          <w:szCs w:val="24"/>
        </w:rPr>
        <w:t>。</w:t>
      </w:r>
    </w:p>
    <w:p w14:paraId="25AF9B39" w14:textId="32FB33CD" w:rsidR="0071537A" w:rsidRDefault="00E91F81">
      <w:pPr>
        <w:numPr>
          <w:ilvl w:val="0"/>
          <w:numId w:val="5"/>
        </w:numPr>
        <w:snapToGrid w:val="0"/>
        <w:spacing w:beforeLines="50" w:before="156" w:line="360" w:lineRule="auto"/>
        <w:ind w:firstLineChars="200" w:firstLine="482"/>
        <w:rPr>
          <w:rFonts w:eastAsiaTheme="minorEastAsia"/>
          <w:b/>
          <w:bCs/>
          <w:color w:val="000000" w:themeColor="text1"/>
          <w:sz w:val="24"/>
          <w:szCs w:val="24"/>
        </w:rPr>
      </w:pPr>
      <w:r>
        <w:rPr>
          <w:rFonts w:eastAsiaTheme="minorEastAsia" w:hint="eastAsia"/>
          <w:b/>
          <w:bCs/>
          <w:color w:val="000000" w:themeColor="text1"/>
          <w:sz w:val="24"/>
          <w:szCs w:val="24"/>
        </w:rPr>
        <w:t>激励对象的</w:t>
      </w:r>
      <w:r w:rsidR="00116F08">
        <w:rPr>
          <w:rFonts w:eastAsiaTheme="minorEastAsia" w:hint="eastAsia"/>
          <w:b/>
          <w:bCs/>
          <w:color w:val="000000" w:themeColor="text1"/>
          <w:sz w:val="24"/>
          <w:szCs w:val="24"/>
        </w:rPr>
        <w:t>预留</w:t>
      </w:r>
      <w:r>
        <w:rPr>
          <w:rFonts w:eastAsiaTheme="minorEastAsia" w:hint="eastAsia"/>
          <w:b/>
          <w:bCs/>
          <w:color w:val="000000" w:themeColor="text1"/>
          <w:sz w:val="24"/>
          <w:szCs w:val="24"/>
        </w:rPr>
        <w:t>股票期权的授予登记完成情况</w:t>
      </w:r>
    </w:p>
    <w:p w14:paraId="5CE29D24" w14:textId="0DCF6C49" w:rsidR="0071537A" w:rsidRDefault="00E91F81">
      <w:pPr>
        <w:snapToGrid w:val="0"/>
        <w:spacing w:line="360" w:lineRule="auto"/>
        <w:ind w:firstLine="480"/>
        <w:rPr>
          <w:rFonts w:eastAsiaTheme="minorEastAsia"/>
          <w:color w:val="000000" w:themeColor="text1"/>
          <w:sz w:val="24"/>
          <w:szCs w:val="24"/>
        </w:rPr>
      </w:pPr>
      <w:r>
        <w:rPr>
          <w:rFonts w:eastAsiaTheme="minorEastAsia" w:hint="eastAsia"/>
          <w:color w:val="000000" w:themeColor="text1"/>
          <w:sz w:val="24"/>
          <w:szCs w:val="24"/>
        </w:rPr>
        <w:lastRenderedPageBreak/>
        <w:t>股票期权代码：</w:t>
      </w:r>
      <w:r w:rsidR="00627CB7">
        <w:rPr>
          <w:rFonts w:eastAsiaTheme="minorEastAsia"/>
          <w:color w:val="000000" w:themeColor="text1"/>
          <w:sz w:val="24"/>
          <w:szCs w:val="24"/>
        </w:rPr>
        <w:t>037313</w:t>
      </w:r>
    </w:p>
    <w:p w14:paraId="7CB35A32" w14:textId="0F214637" w:rsidR="0071537A" w:rsidRDefault="00E91F81">
      <w:pPr>
        <w:snapToGrid w:val="0"/>
        <w:spacing w:line="360" w:lineRule="auto"/>
        <w:ind w:firstLine="480"/>
        <w:rPr>
          <w:rFonts w:eastAsiaTheme="minorEastAsia"/>
          <w:color w:val="000000" w:themeColor="text1"/>
          <w:sz w:val="24"/>
          <w:szCs w:val="24"/>
        </w:rPr>
      </w:pPr>
      <w:r w:rsidRPr="007957DF">
        <w:rPr>
          <w:rFonts w:eastAsiaTheme="minorEastAsia" w:hint="eastAsia"/>
          <w:color w:val="000000" w:themeColor="text1"/>
          <w:sz w:val="24"/>
          <w:szCs w:val="24"/>
        </w:rPr>
        <w:t>股票期权简称：</w:t>
      </w:r>
      <w:r w:rsidR="00972188" w:rsidRPr="007957DF">
        <w:rPr>
          <w:rFonts w:eastAsiaTheme="minorEastAsia" w:hint="eastAsia"/>
          <w:color w:val="000000" w:themeColor="text1"/>
          <w:sz w:val="24"/>
          <w:szCs w:val="24"/>
        </w:rPr>
        <w:t>万里</w:t>
      </w:r>
      <w:r w:rsidRPr="007957DF">
        <w:rPr>
          <w:rFonts w:eastAsiaTheme="minorEastAsia" w:hint="eastAsia"/>
          <w:color w:val="000000" w:themeColor="text1"/>
          <w:sz w:val="24"/>
          <w:szCs w:val="24"/>
        </w:rPr>
        <w:t>JLC</w:t>
      </w:r>
      <w:r w:rsidR="00116F08">
        <w:rPr>
          <w:rFonts w:eastAsiaTheme="minorEastAsia"/>
          <w:color w:val="000000" w:themeColor="text1"/>
          <w:sz w:val="24"/>
          <w:szCs w:val="24"/>
        </w:rPr>
        <w:t>2</w:t>
      </w:r>
    </w:p>
    <w:p w14:paraId="0798347E" w14:textId="6BA78344" w:rsidR="0071537A" w:rsidRDefault="00116F08">
      <w:pPr>
        <w:snapToGrid w:val="0"/>
        <w:spacing w:line="360" w:lineRule="auto"/>
        <w:ind w:firstLine="480"/>
        <w:rPr>
          <w:rFonts w:eastAsiaTheme="minorEastAsia"/>
          <w:color w:val="000000" w:themeColor="text1"/>
          <w:sz w:val="24"/>
          <w:szCs w:val="24"/>
        </w:rPr>
      </w:pPr>
      <w:r>
        <w:rPr>
          <w:rFonts w:eastAsiaTheme="minorEastAsia" w:hint="eastAsia"/>
          <w:color w:val="000000" w:themeColor="text1"/>
          <w:sz w:val="24"/>
          <w:szCs w:val="24"/>
        </w:rPr>
        <w:t>预留</w:t>
      </w:r>
      <w:r w:rsidR="00E91F81">
        <w:rPr>
          <w:rFonts w:eastAsiaTheme="minorEastAsia" w:hint="eastAsia"/>
          <w:color w:val="000000" w:themeColor="text1"/>
          <w:sz w:val="24"/>
          <w:szCs w:val="24"/>
        </w:rPr>
        <w:t>股票期权登记完成时间：</w:t>
      </w:r>
      <w:r w:rsidR="00DF575C" w:rsidRPr="00627CB7">
        <w:rPr>
          <w:rFonts w:eastAsiaTheme="minorEastAsia"/>
          <w:color w:val="000000" w:themeColor="text1"/>
          <w:sz w:val="24"/>
          <w:szCs w:val="24"/>
        </w:rPr>
        <w:t>2022</w:t>
      </w:r>
      <w:r w:rsidR="00E91F81" w:rsidRPr="00627CB7">
        <w:rPr>
          <w:rFonts w:eastAsiaTheme="minorEastAsia" w:hint="eastAsia"/>
          <w:color w:val="000000" w:themeColor="text1"/>
          <w:sz w:val="24"/>
          <w:szCs w:val="24"/>
        </w:rPr>
        <w:t>年</w:t>
      </w:r>
      <w:r w:rsidRPr="00627CB7">
        <w:rPr>
          <w:rFonts w:eastAsiaTheme="minorEastAsia"/>
          <w:color w:val="000000" w:themeColor="text1"/>
          <w:sz w:val="24"/>
          <w:szCs w:val="24"/>
        </w:rPr>
        <w:t>11</w:t>
      </w:r>
      <w:r w:rsidR="00E91F81" w:rsidRPr="00627CB7">
        <w:rPr>
          <w:rFonts w:eastAsiaTheme="minorEastAsia" w:hint="eastAsia"/>
          <w:color w:val="000000" w:themeColor="text1"/>
          <w:sz w:val="24"/>
          <w:szCs w:val="24"/>
        </w:rPr>
        <w:t>月</w:t>
      </w:r>
      <w:r w:rsidR="006E7324">
        <w:rPr>
          <w:rFonts w:eastAsiaTheme="minorEastAsia"/>
          <w:color w:val="000000" w:themeColor="text1"/>
          <w:sz w:val="24"/>
          <w:szCs w:val="24"/>
        </w:rPr>
        <w:t>21</w:t>
      </w:r>
      <w:r w:rsidR="00E91F81" w:rsidRPr="00627CB7">
        <w:rPr>
          <w:rFonts w:eastAsiaTheme="minorEastAsia" w:hint="eastAsia"/>
          <w:color w:val="000000" w:themeColor="text1"/>
          <w:sz w:val="24"/>
          <w:szCs w:val="24"/>
        </w:rPr>
        <w:t>日</w:t>
      </w:r>
    </w:p>
    <w:p w14:paraId="752270DB" w14:textId="77777777" w:rsidR="0071537A" w:rsidRDefault="00E91F81">
      <w:pPr>
        <w:snapToGrid w:val="0"/>
        <w:spacing w:beforeLines="50" w:before="156" w:line="360" w:lineRule="auto"/>
        <w:ind w:firstLineChars="200" w:firstLine="482"/>
        <w:rPr>
          <w:rFonts w:eastAsiaTheme="minorEastAsia"/>
          <w:b/>
          <w:bCs/>
          <w:color w:val="000000" w:themeColor="text1"/>
          <w:sz w:val="24"/>
          <w:szCs w:val="24"/>
        </w:rPr>
      </w:pPr>
      <w:r>
        <w:rPr>
          <w:rFonts w:eastAsiaTheme="minorEastAsia" w:hint="eastAsia"/>
          <w:b/>
          <w:bCs/>
          <w:color w:val="000000" w:themeColor="text1"/>
          <w:sz w:val="24"/>
          <w:szCs w:val="24"/>
        </w:rPr>
        <w:t>五、本次股票期权的授予对公司经营业绩的影响</w:t>
      </w:r>
    </w:p>
    <w:p w14:paraId="7B84BA30" w14:textId="77777777" w:rsidR="00116F08" w:rsidRPr="00A40742" w:rsidRDefault="00B123BC" w:rsidP="00116F08">
      <w:pPr>
        <w:autoSpaceDE w:val="0"/>
        <w:autoSpaceDN w:val="0"/>
        <w:adjustRightInd w:val="0"/>
        <w:snapToGrid w:val="0"/>
        <w:spacing w:line="360" w:lineRule="auto"/>
        <w:ind w:firstLineChars="200" w:firstLine="480"/>
        <w:rPr>
          <w:rFonts w:ascii="Times" w:eastAsiaTheme="majorEastAsia" w:hAnsi="Times"/>
          <w:sz w:val="24"/>
        </w:rPr>
      </w:pPr>
      <w:r w:rsidRPr="00B123BC">
        <w:rPr>
          <w:rFonts w:hint="eastAsia"/>
          <w:color w:val="000000"/>
          <w:sz w:val="24"/>
        </w:rPr>
        <w:t>根据</w:t>
      </w:r>
      <w:r w:rsidR="00116F08" w:rsidRPr="00A40742">
        <w:rPr>
          <w:rFonts w:ascii="Times" w:eastAsiaTheme="majorEastAsia" w:hAnsi="Times"/>
          <w:sz w:val="24"/>
        </w:rPr>
        <w:t>《企业会计准则第</w:t>
      </w:r>
      <w:r w:rsidR="00116F08" w:rsidRPr="00A40742">
        <w:rPr>
          <w:rFonts w:ascii="Times" w:eastAsiaTheme="majorEastAsia" w:hAnsi="Times"/>
          <w:sz w:val="24"/>
        </w:rPr>
        <w:t>11</w:t>
      </w:r>
      <w:r w:rsidR="00116F08" w:rsidRPr="00A40742">
        <w:rPr>
          <w:rFonts w:ascii="Times" w:eastAsiaTheme="majorEastAsia" w:hAnsi="Times"/>
          <w:sz w:val="24"/>
        </w:rPr>
        <w:t>号</w:t>
      </w:r>
      <w:r w:rsidR="00116F08" w:rsidRPr="00A40742">
        <w:rPr>
          <w:rFonts w:ascii="Times" w:eastAsiaTheme="majorEastAsia" w:hAnsi="Times"/>
          <w:sz w:val="24"/>
        </w:rPr>
        <w:t>—</w:t>
      </w:r>
      <w:r w:rsidR="00116F08" w:rsidRPr="00A40742">
        <w:rPr>
          <w:rFonts w:ascii="Times" w:eastAsiaTheme="majorEastAsia" w:hAnsi="Times"/>
          <w:sz w:val="24"/>
        </w:rPr>
        <w:t>股份支付》和《企业会计准则第</w:t>
      </w:r>
      <w:r w:rsidR="00116F08" w:rsidRPr="00A40742">
        <w:rPr>
          <w:rFonts w:ascii="Times" w:eastAsiaTheme="majorEastAsia" w:hAnsi="Times"/>
          <w:sz w:val="24"/>
        </w:rPr>
        <w:t>22</w:t>
      </w:r>
      <w:r w:rsidR="00116F08" w:rsidRPr="00A40742">
        <w:rPr>
          <w:rFonts w:ascii="Times" w:eastAsiaTheme="majorEastAsia" w:hAnsi="Times"/>
          <w:sz w:val="24"/>
        </w:rPr>
        <w:t>号</w:t>
      </w:r>
      <w:r w:rsidR="00116F08" w:rsidRPr="00A40742">
        <w:rPr>
          <w:rFonts w:ascii="Times" w:eastAsiaTheme="majorEastAsia" w:hAnsi="Times"/>
          <w:sz w:val="24"/>
        </w:rPr>
        <w:t>-</w:t>
      </w:r>
      <w:r w:rsidR="00116F08" w:rsidRPr="00A40742">
        <w:rPr>
          <w:rFonts w:ascii="Times" w:eastAsiaTheme="majorEastAsia" w:hAnsi="Times"/>
          <w:sz w:val="24"/>
        </w:rPr>
        <w:t>金融工具确认和计量》的相关规定，公司将在等待期的每个资产负债表日，根据最新取得的可行权的人数变动、业绩指标完成情况等后续信息，修正预计可行权的股票期权，并按照股票期权授</w:t>
      </w:r>
      <w:r w:rsidR="00116F08">
        <w:rPr>
          <w:rFonts w:ascii="Times" w:eastAsiaTheme="majorEastAsia" w:hAnsi="Times"/>
          <w:sz w:val="24"/>
        </w:rPr>
        <w:t>权</w:t>
      </w:r>
      <w:r w:rsidR="00116F08" w:rsidRPr="00A40742">
        <w:rPr>
          <w:rFonts w:ascii="Times" w:eastAsiaTheme="majorEastAsia" w:hAnsi="Times"/>
          <w:sz w:val="24"/>
        </w:rPr>
        <w:t>日的公允价值，将当期取得的服务计入相关成本或费用和资本公积。</w:t>
      </w:r>
    </w:p>
    <w:p w14:paraId="2DE7C5F7" w14:textId="77777777" w:rsidR="00116F08" w:rsidRPr="00A40742" w:rsidRDefault="00116F08" w:rsidP="00116F08">
      <w:pPr>
        <w:autoSpaceDE w:val="0"/>
        <w:autoSpaceDN w:val="0"/>
        <w:adjustRightInd w:val="0"/>
        <w:snapToGrid w:val="0"/>
        <w:spacing w:line="360" w:lineRule="auto"/>
        <w:ind w:firstLineChars="200" w:firstLine="480"/>
        <w:rPr>
          <w:rFonts w:ascii="Times" w:eastAsiaTheme="majorEastAsia" w:hAnsi="Times"/>
          <w:sz w:val="24"/>
        </w:rPr>
      </w:pPr>
      <w:r w:rsidRPr="00A40742">
        <w:rPr>
          <w:rFonts w:ascii="Times" w:eastAsiaTheme="majorEastAsia" w:hAnsi="Times"/>
          <w:sz w:val="24"/>
        </w:rPr>
        <w:t>董事会已确定本激励计划的</w:t>
      </w:r>
      <w:r>
        <w:rPr>
          <w:rFonts w:ascii="Times" w:eastAsiaTheme="majorEastAsia" w:hAnsi="Times" w:hint="eastAsia"/>
          <w:sz w:val="24"/>
        </w:rPr>
        <w:t>预留授权</w:t>
      </w:r>
      <w:r w:rsidRPr="00A40742">
        <w:rPr>
          <w:rFonts w:ascii="Times" w:eastAsiaTheme="majorEastAsia" w:hAnsi="Times"/>
          <w:sz w:val="24"/>
        </w:rPr>
        <w:t>日为</w:t>
      </w:r>
      <w:r w:rsidRPr="00A40742">
        <w:rPr>
          <w:rFonts w:ascii="Times" w:eastAsiaTheme="majorEastAsia" w:hAnsi="Times"/>
          <w:sz w:val="24"/>
        </w:rPr>
        <w:t>2022</w:t>
      </w:r>
      <w:r w:rsidRPr="00A40742">
        <w:rPr>
          <w:rFonts w:ascii="Times" w:eastAsiaTheme="majorEastAsia" w:hAnsi="Times"/>
          <w:sz w:val="24"/>
        </w:rPr>
        <w:t>年</w:t>
      </w:r>
      <w:r>
        <w:rPr>
          <w:rFonts w:ascii="Times" w:eastAsiaTheme="majorEastAsia" w:hAnsi="Times"/>
          <w:sz w:val="24"/>
        </w:rPr>
        <w:t>10</w:t>
      </w:r>
      <w:r w:rsidRPr="00A40742">
        <w:rPr>
          <w:rFonts w:ascii="Times" w:eastAsiaTheme="majorEastAsia" w:hAnsi="Times"/>
          <w:sz w:val="24"/>
        </w:rPr>
        <w:t>月</w:t>
      </w:r>
      <w:r>
        <w:rPr>
          <w:rFonts w:ascii="Times" w:eastAsiaTheme="majorEastAsia" w:hAnsi="Times"/>
          <w:sz w:val="24"/>
        </w:rPr>
        <w:t>28</w:t>
      </w:r>
      <w:r w:rsidRPr="00A40742">
        <w:rPr>
          <w:rFonts w:ascii="Times" w:eastAsiaTheme="majorEastAsia" w:hAnsi="Times"/>
          <w:sz w:val="24"/>
        </w:rPr>
        <w:t>日，对</w:t>
      </w:r>
      <w:r>
        <w:rPr>
          <w:rFonts w:ascii="Times" w:eastAsiaTheme="majorEastAsia" w:hAnsi="Times" w:hint="eastAsia"/>
          <w:sz w:val="24"/>
        </w:rPr>
        <w:t>预留</w:t>
      </w:r>
      <w:r w:rsidRPr="00A40742">
        <w:rPr>
          <w:rFonts w:ascii="Times" w:eastAsiaTheme="majorEastAsia" w:hAnsi="Times"/>
          <w:sz w:val="24"/>
        </w:rPr>
        <w:t>的</w:t>
      </w:r>
      <w:r>
        <w:rPr>
          <w:rFonts w:ascii="Times" w:eastAsiaTheme="majorEastAsia" w:hAnsi="Times"/>
          <w:sz w:val="24"/>
        </w:rPr>
        <w:t>60</w:t>
      </w:r>
      <w:r w:rsidRPr="00A40742">
        <w:rPr>
          <w:rFonts w:ascii="Times" w:eastAsiaTheme="majorEastAsia" w:hAnsi="Times"/>
          <w:sz w:val="24"/>
        </w:rPr>
        <w:t>.50</w:t>
      </w:r>
      <w:r w:rsidRPr="00A40742">
        <w:rPr>
          <w:rFonts w:ascii="Times" w:eastAsiaTheme="majorEastAsia" w:hAnsi="Times"/>
          <w:sz w:val="24"/>
        </w:rPr>
        <w:t>万份股票期权进行测算，则</w:t>
      </w:r>
      <w:r w:rsidRPr="00A40742">
        <w:rPr>
          <w:rFonts w:ascii="Times" w:eastAsiaTheme="majorEastAsia" w:hAnsi="Times"/>
          <w:sz w:val="24"/>
        </w:rPr>
        <w:t>2022</w:t>
      </w:r>
      <w:r w:rsidRPr="00A40742">
        <w:rPr>
          <w:rFonts w:ascii="Times" w:eastAsiaTheme="majorEastAsia" w:hAnsi="Times"/>
          <w:sz w:val="24"/>
        </w:rPr>
        <w:t>年至</w:t>
      </w:r>
      <w:r w:rsidRPr="00A40742">
        <w:rPr>
          <w:rFonts w:ascii="Times" w:eastAsiaTheme="majorEastAsia" w:hAnsi="Times"/>
          <w:sz w:val="24"/>
        </w:rPr>
        <w:t>2025</w:t>
      </w:r>
      <w:r w:rsidRPr="00A40742">
        <w:rPr>
          <w:rFonts w:ascii="Times" w:eastAsiaTheme="majorEastAsia" w:hAnsi="Times"/>
          <w:sz w:val="24"/>
        </w:rPr>
        <w:t>年成本摊销情况如下：</w:t>
      </w:r>
    </w:p>
    <w:p w14:paraId="2FA25864" w14:textId="77777777" w:rsidR="00116F08" w:rsidRPr="00A40742" w:rsidRDefault="00116F08" w:rsidP="00116F08">
      <w:pPr>
        <w:autoSpaceDE w:val="0"/>
        <w:autoSpaceDN w:val="0"/>
        <w:adjustRightInd w:val="0"/>
        <w:snapToGrid w:val="0"/>
        <w:spacing w:line="360" w:lineRule="auto"/>
        <w:jc w:val="right"/>
        <w:rPr>
          <w:rFonts w:ascii="Times" w:eastAsiaTheme="majorEastAsia" w:hAnsi="Times"/>
          <w:sz w:val="24"/>
        </w:rPr>
      </w:pPr>
      <w:r w:rsidRPr="00A40742">
        <w:rPr>
          <w:rFonts w:ascii="Times" w:eastAsiaTheme="majorEastAsia" w:hAnsi="Times"/>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639"/>
        <w:gridCol w:w="1639"/>
        <w:gridCol w:w="1639"/>
        <w:gridCol w:w="1637"/>
      </w:tblGrid>
      <w:tr w:rsidR="00116F08" w:rsidRPr="00A40742" w14:paraId="7319AD41" w14:textId="77777777" w:rsidTr="00007265">
        <w:trPr>
          <w:trHeight w:val="557"/>
          <w:jc w:val="center"/>
        </w:trPr>
        <w:tc>
          <w:tcPr>
            <w:tcW w:w="1053" w:type="pct"/>
            <w:shd w:val="clear" w:color="auto" w:fill="BFBFBF"/>
            <w:vAlign w:val="center"/>
          </w:tcPr>
          <w:p w14:paraId="0225CEFF" w14:textId="77777777" w:rsidR="00116F08" w:rsidRPr="00A40742" w:rsidRDefault="00116F08" w:rsidP="00007265">
            <w:pPr>
              <w:ind w:leftChars="-53" w:left="-111" w:right="-102"/>
              <w:jc w:val="center"/>
              <w:rPr>
                <w:rFonts w:ascii="Times" w:eastAsiaTheme="majorEastAsia" w:hAnsi="Times"/>
                <w:b/>
              </w:rPr>
            </w:pPr>
            <w:r w:rsidRPr="00A40742">
              <w:rPr>
                <w:rFonts w:ascii="Times" w:eastAsiaTheme="majorEastAsia" w:hAnsi="Times"/>
                <w:b/>
              </w:rPr>
              <w:t>需摊销的总费用</w:t>
            </w:r>
          </w:p>
        </w:tc>
        <w:tc>
          <w:tcPr>
            <w:tcW w:w="987" w:type="pct"/>
            <w:shd w:val="clear" w:color="auto" w:fill="BFBFBF"/>
            <w:vAlign w:val="center"/>
          </w:tcPr>
          <w:p w14:paraId="7F82B7DE" w14:textId="77777777" w:rsidR="00116F08" w:rsidRPr="00A40742" w:rsidRDefault="00116F08" w:rsidP="00007265">
            <w:pPr>
              <w:ind w:right="-153"/>
              <w:jc w:val="center"/>
              <w:rPr>
                <w:rFonts w:ascii="Times" w:eastAsiaTheme="majorEastAsia" w:hAnsi="Times"/>
                <w:b/>
              </w:rPr>
            </w:pPr>
            <w:r w:rsidRPr="00A40742">
              <w:rPr>
                <w:rFonts w:ascii="Times" w:eastAsiaTheme="majorEastAsia" w:hAnsi="Times"/>
                <w:b/>
              </w:rPr>
              <w:t>2022</w:t>
            </w:r>
            <w:r w:rsidRPr="00A40742">
              <w:rPr>
                <w:rFonts w:ascii="Times" w:eastAsiaTheme="majorEastAsia" w:hAnsi="Times"/>
                <w:b/>
              </w:rPr>
              <w:t>年</w:t>
            </w:r>
          </w:p>
        </w:tc>
        <w:tc>
          <w:tcPr>
            <w:tcW w:w="987" w:type="pct"/>
            <w:shd w:val="clear" w:color="auto" w:fill="BFBFBF"/>
            <w:vAlign w:val="center"/>
          </w:tcPr>
          <w:p w14:paraId="54D4B86F" w14:textId="77777777" w:rsidR="00116F08" w:rsidRPr="00A40742" w:rsidRDefault="00116F08" w:rsidP="00007265">
            <w:pPr>
              <w:ind w:right="-153"/>
              <w:jc w:val="center"/>
              <w:rPr>
                <w:rFonts w:ascii="Times" w:eastAsiaTheme="majorEastAsia" w:hAnsi="Times"/>
                <w:b/>
              </w:rPr>
            </w:pPr>
            <w:r w:rsidRPr="00A40742">
              <w:rPr>
                <w:rFonts w:ascii="Times" w:eastAsiaTheme="majorEastAsia" w:hAnsi="Times"/>
                <w:b/>
              </w:rPr>
              <w:t>2023</w:t>
            </w:r>
            <w:r w:rsidRPr="00A40742">
              <w:rPr>
                <w:rFonts w:ascii="Times" w:eastAsiaTheme="majorEastAsia" w:hAnsi="Times"/>
                <w:b/>
              </w:rPr>
              <w:t>年</w:t>
            </w:r>
          </w:p>
        </w:tc>
        <w:tc>
          <w:tcPr>
            <w:tcW w:w="987" w:type="pct"/>
            <w:shd w:val="clear" w:color="auto" w:fill="BFBFBF"/>
            <w:vAlign w:val="center"/>
          </w:tcPr>
          <w:p w14:paraId="7FB463BF" w14:textId="77777777" w:rsidR="00116F08" w:rsidRPr="00A40742" w:rsidRDefault="00116F08" w:rsidP="00007265">
            <w:pPr>
              <w:ind w:right="-153"/>
              <w:jc w:val="center"/>
              <w:rPr>
                <w:rFonts w:ascii="Times" w:eastAsiaTheme="majorEastAsia" w:hAnsi="Times"/>
                <w:b/>
              </w:rPr>
            </w:pPr>
            <w:r w:rsidRPr="00A40742">
              <w:rPr>
                <w:rFonts w:ascii="Times" w:eastAsiaTheme="majorEastAsia" w:hAnsi="Times"/>
                <w:b/>
              </w:rPr>
              <w:t>2024</w:t>
            </w:r>
            <w:r w:rsidRPr="00A40742">
              <w:rPr>
                <w:rFonts w:ascii="Times" w:eastAsiaTheme="majorEastAsia" w:hAnsi="Times"/>
                <w:b/>
              </w:rPr>
              <w:t>年</w:t>
            </w:r>
          </w:p>
        </w:tc>
        <w:tc>
          <w:tcPr>
            <w:tcW w:w="986" w:type="pct"/>
            <w:shd w:val="clear" w:color="auto" w:fill="BFBFBF"/>
            <w:vAlign w:val="center"/>
          </w:tcPr>
          <w:p w14:paraId="46638608" w14:textId="77777777" w:rsidR="00116F08" w:rsidRPr="00A40742" w:rsidRDefault="00116F08" w:rsidP="00007265">
            <w:pPr>
              <w:ind w:right="-153"/>
              <w:jc w:val="center"/>
              <w:rPr>
                <w:rFonts w:ascii="Times" w:eastAsiaTheme="majorEastAsia" w:hAnsi="Times"/>
                <w:b/>
              </w:rPr>
            </w:pPr>
            <w:r w:rsidRPr="00A40742">
              <w:rPr>
                <w:rFonts w:ascii="Times" w:eastAsiaTheme="majorEastAsia" w:hAnsi="Times"/>
                <w:b/>
              </w:rPr>
              <w:t>2025</w:t>
            </w:r>
            <w:r w:rsidRPr="00A40742">
              <w:rPr>
                <w:rFonts w:ascii="Times" w:eastAsiaTheme="majorEastAsia" w:hAnsi="Times"/>
                <w:b/>
              </w:rPr>
              <w:t>年</w:t>
            </w:r>
          </w:p>
        </w:tc>
      </w:tr>
      <w:tr w:rsidR="00116F08" w:rsidRPr="00A40742" w14:paraId="0CF707D6" w14:textId="77777777" w:rsidTr="00007265">
        <w:trPr>
          <w:trHeight w:val="464"/>
          <w:jc w:val="center"/>
        </w:trPr>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3B189A56" w14:textId="77777777" w:rsidR="00116F08" w:rsidRPr="00D46ACD" w:rsidRDefault="00116F08" w:rsidP="00007265">
            <w:pPr>
              <w:widowControl/>
              <w:jc w:val="center"/>
              <w:rPr>
                <w:rFonts w:ascii="Times" w:eastAsiaTheme="majorEastAsia" w:hAnsi="Times"/>
                <w:b/>
                <w:bCs/>
                <w:szCs w:val="21"/>
              </w:rPr>
            </w:pPr>
            <w:r w:rsidRPr="00D46ACD">
              <w:rPr>
                <w:rFonts w:eastAsia="等线"/>
                <w:b/>
                <w:bCs/>
                <w:color w:val="000000"/>
                <w:szCs w:val="21"/>
              </w:rPr>
              <w:t>709.88</w:t>
            </w:r>
          </w:p>
        </w:tc>
        <w:tc>
          <w:tcPr>
            <w:tcW w:w="987" w:type="pct"/>
            <w:tcBorders>
              <w:top w:val="single" w:sz="4" w:space="0" w:color="auto"/>
              <w:left w:val="nil"/>
              <w:bottom w:val="single" w:sz="4" w:space="0" w:color="auto"/>
              <w:right w:val="single" w:sz="4" w:space="0" w:color="auto"/>
            </w:tcBorders>
            <w:shd w:val="clear" w:color="auto" w:fill="auto"/>
            <w:vAlign w:val="center"/>
          </w:tcPr>
          <w:p w14:paraId="39E5BBAB" w14:textId="77777777" w:rsidR="00116F08" w:rsidRPr="003B4AD6" w:rsidRDefault="00116F08" w:rsidP="00007265">
            <w:pPr>
              <w:jc w:val="center"/>
              <w:rPr>
                <w:rFonts w:ascii="Times" w:eastAsiaTheme="majorEastAsia" w:hAnsi="Times"/>
                <w:szCs w:val="21"/>
              </w:rPr>
            </w:pPr>
            <w:r w:rsidRPr="00D46ACD">
              <w:rPr>
                <w:rFonts w:eastAsia="等线"/>
                <w:b/>
                <w:bCs/>
                <w:color w:val="000000"/>
                <w:szCs w:val="21"/>
              </w:rPr>
              <w:t xml:space="preserve">67.82 </w:t>
            </w:r>
          </w:p>
        </w:tc>
        <w:tc>
          <w:tcPr>
            <w:tcW w:w="987" w:type="pct"/>
            <w:tcBorders>
              <w:top w:val="single" w:sz="4" w:space="0" w:color="auto"/>
              <w:left w:val="nil"/>
              <w:bottom w:val="single" w:sz="4" w:space="0" w:color="auto"/>
              <w:right w:val="single" w:sz="4" w:space="0" w:color="auto"/>
            </w:tcBorders>
            <w:shd w:val="clear" w:color="auto" w:fill="auto"/>
            <w:vAlign w:val="center"/>
          </w:tcPr>
          <w:p w14:paraId="3D5D7493" w14:textId="77777777" w:rsidR="00116F08" w:rsidRPr="003B4AD6" w:rsidRDefault="00116F08" w:rsidP="00007265">
            <w:pPr>
              <w:jc w:val="center"/>
              <w:rPr>
                <w:rFonts w:ascii="Times" w:eastAsiaTheme="majorEastAsia" w:hAnsi="Times"/>
                <w:szCs w:val="21"/>
              </w:rPr>
            </w:pPr>
            <w:r w:rsidRPr="00D46ACD">
              <w:rPr>
                <w:rFonts w:eastAsia="等线"/>
                <w:b/>
                <w:bCs/>
                <w:color w:val="000000"/>
                <w:szCs w:val="21"/>
              </w:rPr>
              <w:t xml:space="preserve">373.12 </w:t>
            </w:r>
          </w:p>
        </w:tc>
        <w:tc>
          <w:tcPr>
            <w:tcW w:w="987" w:type="pct"/>
            <w:tcBorders>
              <w:top w:val="single" w:sz="4" w:space="0" w:color="auto"/>
              <w:left w:val="nil"/>
              <w:bottom w:val="single" w:sz="4" w:space="0" w:color="auto"/>
              <w:right w:val="single" w:sz="4" w:space="0" w:color="auto"/>
            </w:tcBorders>
            <w:shd w:val="clear" w:color="auto" w:fill="auto"/>
            <w:vAlign w:val="center"/>
          </w:tcPr>
          <w:p w14:paraId="454E02FE" w14:textId="77777777" w:rsidR="00116F08" w:rsidRPr="003B4AD6" w:rsidRDefault="00116F08" w:rsidP="00007265">
            <w:pPr>
              <w:jc w:val="center"/>
              <w:rPr>
                <w:rFonts w:ascii="Times" w:eastAsiaTheme="majorEastAsia" w:hAnsi="Times"/>
                <w:szCs w:val="21"/>
              </w:rPr>
            </w:pPr>
            <w:r w:rsidRPr="00D46ACD">
              <w:rPr>
                <w:rFonts w:eastAsia="等线"/>
                <w:b/>
                <w:bCs/>
                <w:color w:val="000000"/>
                <w:szCs w:val="21"/>
              </w:rPr>
              <w:t xml:space="preserve">186.55 </w:t>
            </w:r>
          </w:p>
        </w:tc>
        <w:tc>
          <w:tcPr>
            <w:tcW w:w="986" w:type="pct"/>
            <w:tcBorders>
              <w:top w:val="single" w:sz="4" w:space="0" w:color="auto"/>
              <w:left w:val="nil"/>
              <w:bottom w:val="single" w:sz="4" w:space="0" w:color="auto"/>
              <w:right w:val="single" w:sz="4" w:space="0" w:color="auto"/>
            </w:tcBorders>
            <w:shd w:val="clear" w:color="auto" w:fill="auto"/>
            <w:vAlign w:val="center"/>
          </w:tcPr>
          <w:p w14:paraId="5CD5B113" w14:textId="77777777" w:rsidR="00116F08" w:rsidRPr="003B4AD6" w:rsidRDefault="00116F08" w:rsidP="00007265">
            <w:pPr>
              <w:jc w:val="center"/>
              <w:rPr>
                <w:rFonts w:ascii="Times" w:eastAsiaTheme="majorEastAsia" w:hAnsi="Times"/>
                <w:szCs w:val="21"/>
              </w:rPr>
            </w:pPr>
            <w:r w:rsidRPr="00D46ACD">
              <w:rPr>
                <w:rFonts w:eastAsia="等线"/>
                <w:b/>
                <w:bCs/>
                <w:color w:val="000000"/>
                <w:szCs w:val="21"/>
              </w:rPr>
              <w:t xml:space="preserve">82.39 </w:t>
            </w:r>
          </w:p>
        </w:tc>
      </w:tr>
    </w:tbl>
    <w:p w14:paraId="7BF45FBA" w14:textId="77777777" w:rsidR="00116F08" w:rsidRPr="00711CEC" w:rsidRDefault="00116F08" w:rsidP="00E37E4A">
      <w:pPr>
        <w:spacing w:line="360" w:lineRule="auto"/>
        <w:ind w:firstLineChars="200" w:firstLine="420"/>
        <w:rPr>
          <w:rFonts w:ascii="Times" w:hAnsi="Times" w:cstheme="minorBidi"/>
          <w:szCs w:val="21"/>
        </w:rPr>
      </w:pPr>
      <w:r w:rsidRPr="00711CEC">
        <w:rPr>
          <w:rFonts w:ascii="Times" w:hAnsi="Times" w:cstheme="minorBidi" w:hint="eastAsia"/>
          <w:szCs w:val="21"/>
        </w:rPr>
        <w:t>注：</w:t>
      </w:r>
      <w:r w:rsidRPr="00711CEC">
        <w:rPr>
          <w:rFonts w:ascii="Times" w:hAnsi="Times" w:cstheme="minorBidi"/>
          <w:szCs w:val="21"/>
        </w:rPr>
        <w:t xml:space="preserve"> </w:t>
      </w:r>
      <w:r>
        <w:rPr>
          <w:rFonts w:ascii="Times" w:hAnsi="Times" w:cstheme="minorBidi"/>
          <w:szCs w:val="21"/>
        </w:rPr>
        <w:t>1</w:t>
      </w:r>
      <w:r>
        <w:rPr>
          <w:rFonts w:ascii="Times" w:hAnsi="Times" w:cstheme="minorBidi"/>
          <w:szCs w:val="21"/>
        </w:rPr>
        <w:t>、</w:t>
      </w:r>
      <w:r w:rsidRPr="00711CEC">
        <w:rPr>
          <w:rFonts w:ascii="Times" w:hAnsi="Times" w:cstheme="minorBidi" w:hint="eastAsia"/>
          <w:szCs w:val="21"/>
        </w:rPr>
        <w:t>提请股东注意上述股份支付费用可能产生的摊薄影响；</w:t>
      </w:r>
    </w:p>
    <w:p w14:paraId="36A06CE2" w14:textId="29B8D692" w:rsidR="007957DF" w:rsidRDefault="00116F08" w:rsidP="00134177">
      <w:pPr>
        <w:overflowPunct w:val="0"/>
        <w:spacing w:line="360" w:lineRule="auto"/>
        <w:ind w:firstLineChars="200" w:firstLine="420"/>
        <w:rPr>
          <w:rFonts w:ascii="Times" w:hAnsi="Times" w:cstheme="minorBidi"/>
          <w:szCs w:val="21"/>
        </w:rPr>
      </w:pPr>
      <w:r>
        <w:rPr>
          <w:rFonts w:ascii="Times" w:hAnsi="Times" w:cstheme="minorBidi"/>
          <w:szCs w:val="21"/>
        </w:rPr>
        <w:t>2</w:t>
      </w:r>
      <w:r w:rsidRPr="00711CEC">
        <w:rPr>
          <w:rFonts w:ascii="Times" w:hAnsi="Times" w:cstheme="minorBidi" w:hint="eastAsia"/>
          <w:szCs w:val="21"/>
        </w:rPr>
        <w:t>、上述摊销费用预测对公司经营业绩的最终影响以会计师所出的审计报告为准</w:t>
      </w:r>
      <w:r w:rsidR="00261117">
        <w:rPr>
          <w:rFonts w:ascii="Times" w:hAnsi="Times" w:cstheme="minorBidi" w:hint="eastAsia"/>
          <w:szCs w:val="21"/>
        </w:rPr>
        <w:t>；</w:t>
      </w:r>
    </w:p>
    <w:p w14:paraId="232F42CF" w14:textId="4509B2C7" w:rsidR="00261117" w:rsidRPr="00711CEC" w:rsidRDefault="00261117" w:rsidP="00134177">
      <w:pPr>
        <w:overflowPunct w:val="0"/>
        <w:spacing w:line="360" w:lineRule="auto"/>
        <w:ind w:firstLineChars="200" w:firstLine="420"/>
        <w:rPr>
          <w:rFonts w:ascii="Times" w:hAnsi="Times" w:cstheme="minorBidi"/>
          <w:szCs w:val="21"/>
        </w:rPr>
      </w:pPr>
      <w:r>
        <w:rPr>
          <w:rFonts w:ascii="Times" w:hAnsi="Times" w:cstheme="minorBidi"/>
          <w:szCs w:val="21"/>
        </w:rPr>
        <w:t>3</w:t>
      </w:r>
      <w:r>
        <w:rPr>
          <w:rFonts w:ascii="Times" w:hAnsi="Times" w:cstheme="minorBidi" w:hint="eastAsia"/>
          <w:szCs w:val="21"/>
        </w:rPr>
        <w:t>、</w:t>
      </w:r>
      <w:r w:rsidR="00134177" w:rsidRPr="00134177">
        <w:rPr>
          <w:rFonts w:ascii="Times" w:hAnsi="Times" w:cstheme="minorBidi" w:hint="eastAsia"/>
          <w:szCs w:val="21"/>
        </w:rPr>
        <w:t>上表中合计数与各</w:t>
      </w:r>
      <w:proofErr w:type="gramStart"/>
      <w:r w:rsidR="00134177" w:rsidRPr="00134177">
        <w:rPr>
          <w:rFonts w:ascii="Times" w:hAnsi="Times" w:cstheme="minorBidi" w:hint="eastAsia"/>
          <w:szCs w:val="21"/>
        </w:rPr>
        <w:t>明细数</w:t>
      </w:r>
      <w:proofErr w:type="gramEnd"/>
      <w:r w:rsidR="00134177" w:rsidRPr="00134177">
        <w:rPr>
          <w:rFonts w:ascii="Times" w:hAnsi="Times" w:cstheme="minorBidi" w:hint="eastAsia"/>
          <w:szCs w:val="21"/>
        </w:rPr>
        <w:t>相加之和在尾数上如有差异，系四舍五入所致。</w:t>
      </w:r>
    </w:p>
    <w:p w14:paraId="16A53B3E" w14:textId="3307A837" w:rsidR="004B68B3" w:rsidRPr="00135CB9" w:rsidRDefault="007957DF" w:rsidP="007957DF">
      <w:pPr>
        <w:overflowPunct w:val="0"/>
        <w:spacing w:line="360" w:lineRule="auto"/>
        <w:ind w:firstLineChars="200" w:firstLine="480"/>
        <w:rPr>
          <w:color w:val="000000"/>
          <w:sz w:val="24"/>
          <w:szCs w:val="24"/>
        </w:rPr>
      </w:pPr>
      <w:r w:rsidRPr="00135CB9">
        <w:rPr>
          <w:sz w:val="24"/>
          <w:szCs w:val="24"/>
        </w:rPr>
        <w:t>本激励计划的成本将在成本费用中列支。公司以目前信息估计，在不考虑本</w:t>
      </w:r>
      <w:r w:rsidRPr="00135CB9">
        <w:rPr>
          <w:sz w:val="24"/>
          <w:szCs w:val="24"/>
        </w:rPr>
        <w:t xml:space="preserve"> </w:t>
      </w:r>
      <w:r w:rsidRPr="00135CB9">
        <w:rPr>
          <w:sz w:val="24"/>
          <w:szCs w:val="24"/>
        </w:rPr>
        <w:t>激励计划对公司业绩的正向作用情况下，本激励计划成本费用的摊销对有效期内</w:t>
      </w:r>
      <w:r w:rsidRPr="00135CB9">
        <w:rPr>
          <w:sz w:val="24"/>
          <w:szCs w:val="24"/>
        </w:rPr>
        <w:t xml:space="preserve"> </w:t>
      </w:r>
      <w:r w:rsidRPr="00135CB9">
        <w:rPr>
          <w:sz w:val="24"/>
          <w:szCs w:val="24"/>
        </w:rPr>
        <w:t>各年净利润有所影响。考虑到本激励计划对公司经营发展产生的正向作用，由此</w:t>
      </w:r>
      <w:r w:rsidRPr="00135CB9">
        <w:rPr>
          <w:sz w:val="24"/>
          <w:szCs w:val="24"/>
        </w:rPr>
        <w:t xml:space="preserve"> </w:t>
      </w:r>
      <w:r w:rsidRPr="00135CB9">
        <w:rPr>
          <w:sz w:val="24"/>
          <w:szCs w:val="24"/>
        </w:rPr>
        <w:t>激发管理、业务团队的积极性，提高经营效率，降低经营成本，本激励计划带来</w:t>
      </w:r>
      <w:r w:rsidRPr="00135CB9">
        <w:rPr>
          <w:sz w:val="24"/>
          <w:szCs w:val="24"/>
        </w:rPr>
        <w:t xml:space="preserve"> </w:t>
      </w:r>
      <w:r w:rsidRPr="00135CB9">
        <w:rPr>
          <w:sz w:val="24"/>
          <w:szCs w:val="24"/>
        </w:rPr>
        <w:t>的公司业绩提升将高于因其带来的费用增加。</w:t>
      </w:r>
    </w:p>
    <w:p w14:paraId="0B44404B" w14:textId="77777777" w:rsidR="0071537A" w:rsidRDefault="00E91F81">
      <w:pPr>
        <w:spacing w:beforeLines="50" w:before="156" w:line="360" w:lineRule="auto"/>
        <w:ind w:firstLineChars="200" w:firstLine="480"/>
        <w:rPr>
          <w:color w:val="000000"/>
          <w:kern w:val="0"/>
          <w:sz w:val="24"/>
        </w:rPr>
      </w:pPr>
      <w:r>
        <w:rPr>
          <w:color w:val="000000"/>
          <w:kern w:val="0"/>
          <w:sz w:val="24"/>
        </w:rPr>
        <w:t>特此公告。</w:t>
      </w:r>
    </w:p>
    <w:p w14:paraId="546325EE" w14:textId="77777777" w:rsidR="0071537A" w:rsidRDefault="0071537A">
      <w:pPr>
        <w:spacing w:line="360" w:lineRule="auto"/>
        <w:ind w:firstLineChars="200" w:firstLine="480"/>
        <w:rPr>
          <w:color w:val="000000"/>
          <w:kern w:val="0"/>
          <w:sz w:val="24"/>
        </w:rPr>
      </w:pPr>
    </w:p>
    <w:p w14:paraId="7AB30D80" w14:textId="70D1BEB0" w:rsidR="0071537A" w:rsidRDefault="00DF575C">
      <w:pPr>
        <w:spacing w:line="360" w:lineRule="auto"/>
        <w:jc w:val="right"/>
        <w:rPr>
          <w:sz w:val="24"/>
          <w:szCs w:val="24"/>
        </w:rPr>
      </w:pPr>
      <w:r>
        <w:rPr>
          <w:sz w:val="24"/>
          <w:szCs w:val="24"/>
        </w:rPr>
        <w:t>厦门万里石</w:t>
      </w:r>
      <w:r w:rsidR="00E91F81">
        <w:rPr>
          <w:sz w:val="24"/>
          <w:szCs w:val="24"/>
        </w:rPr>
        <w:t>股份有限公司董事会</w:t>
      </w:r>
    </w:p>
    <w:p w14:paraId="4219D2DF" w14:textId="13B7DB8A" w:rsidR="0071537A" w:rsidRDefault="007957DF">
      <w:pPr>
        <w:spacing w:line="360" w:lineRule="auto"/>
        <w:jc w:val="right"/>
        <w:rPr>
          <w:sz w:val="24"/>
        </w:rPr>
      </w:pPr>
      <w:r w:rsidRPr="00E37E4A">
        <w:rPr>
          <w:sz w:val="24"/>
        </w:rPr>
        <w:t>2022</w:t>
      </w:r>
      <w:r w:rsidR="00E91F81" w:rsidRPr="00E37E4A">
        <w:rPr>
          <w:rFonts w:hint="eastAsia"/>
          <w:sz w:val="24"/>
        </w:rPr>
        <w:t>年</w:t>
      </w:r>
      <w:r w:rsidR="00116F08" w:rsidRPr="00E37E4A">
        <w:rPr>
          <w:sz w:val="24"/>
        </w:rPr>
        <w:t>11</w:t>
      </w:r>
      <w:r w:rsidR="00E91F81" w:rsidRPr="00E37E4A">
        <w:rPr>
          <w:rFonts w:hint="eastAsia"/>
          <w:sz w:val="24"/>
        </w:rPr>
        <w:t>月</w:t>
      </w:r>
      <w:r w:rsidR="006E7324">
        <w:rPr>
          <w:sz w:val="24"/>
        </w:rPr>
        <w:t>22</w:t>
      </w:r>
      <w:r w:rsidR="00E91F81" w:rsidRPr="00E37E4A">
        <w:rPr>
          <w:rFonts w:hint="eastAsia"/>
          <w:sz w:val="24"/>
        </w:rPr>
        <w:t>日</w:t>
      </w:r>
    </w:p>
    <w:sectPr w:rsidR="0071537A">
      <w:headerReference w:type="even" r:id="rId9"/>
      <w:headerReference w:type="default" r:id="rId10"/>
      <w:pgSz w:w="11907" w:h="16840"/>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99C3" w14:textId="77777777" w:rsidR="00343835" w:rsidRDefault="00343835">
      <w:r>
        <w:separator/>
      </w:r>
    </w:p>
  </w:endnote>
  <w:endnote w:type="continuationSeparator" w:id="0">
    <w:p w14:paraId="68B404F6" w14:textId="77777777" w:rsidR="00343835" w:rsidRDefault="0034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B0AE" w14:textId="77777777" w:rsidR="00343835" w:rsidRDefault="00343835">
      <w:r>
        <w:separator/>
      </w:r>
    </w:p>
  </w:footnote>
  <w:footnote w:type="continuationSeparator" w:id="0">
    <w:p w14:paraId="05A4EF9A" w14:textId="77777777" w:rsidR="00343835" w:rsidRDefault="0034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16D0" w14:textId="77777777" w:rsidR="0071537A" w:rsidRDefault="0071537A">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AE65" w14:textId="77777777" w:rsidR="0071537A" w:rsidRDefault="0071537A">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196038"/>
    <w:multiLevelType w:val="singleLevel"/>
    <w:tmpl w:val="AC196038"/>
    <w:lvl w:ilvl="0">
      <w:start w:val="1"/>
      <w:numFmt w:val="decimal"/>
      <w:suff w:val="nothing"/>
      <w:lvlText w:val="%1、"/>
      <w:lvlJc w:val="left"/>
    </w:lvl>
  </w:abstractNum>
  <w:abstractNum w:abstractNumId="1" w15:restartNumberingAfterBreak="0">
    <w:nsid w:val="0C125245"/>
    <w:multiLevelType w:val="multilevel"/>
    <w:tmpl w:val="0C125245"/>
    <w:lvl w:ilvl="0">
      <w:start w:val="1"/>
      <w:numFmt w:val="chineseCountingThousand"/>
      <w:pStyle w:val="1"/>
      <w:lvlText w:val="第%1条"/>
      <w:lvlJc w:val="left"/>
      <w:pPr>
        <w:ind w:left="425" w:hanging="425"/>
      </w:pPr>
      <w:rPr>
        <w:rFonts w:hint="eastAsia"/>
        <w:b/>
      </w:rPr>
    </w:lvl>
    <w:lvl w:ilvl="1">
      <w:start w:val="1"/>
      <w:numFmt w:val="decimal"/>
      <w:lvlText w:val="%1%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1A42E7"/>
    <w:multiLevelType w:val="singleLevel"/>
    <w:tmpl w:val="2F1A42E7"/>
    <w:lvl w:ilvl="0">
      <w:start w:val="1"/>
      <w:numFmt w:val="decimal"/>
      <w:suff w:val="nothing"/>
      <w:lvlText w:val="（%1）"/>
      <w:lvlJc w:val="left"/>
    </w:lvl>
  </w:abstractNum>
  <w:abstractNum w:abstractNumId="3" w15:restartNumberingAfterBreak="0">
    <w:nsid w:val="3B5BA2F0"/>
    <w:multiLevelType w:val="singleLevel"/>
    <w:tmpl w:val="3B5BA2F0"/>
    <w:lvl w:ilvl="0">
      <w:start w:val="4"/>
      <w:numFmt w:val="chineseCounting"/>
      <w:suff w:val="nothing"/>
      <w:lvlText w:val="%1、"/>
      <w:lvlJc w:val="left"/>
      <w:rPr>
        <w:rFonts w:hint="eastAsia"/>
      </w:rPr>
    </w:lvl>
  </w:abstractNum>
  <w:abstractNum w:abstractNumId="4" w15:restartNumberingAfterBreak="0">
    <w:nsid w:val="5B4FA6FD"/>
    <w:multiLevelType w:val="singleLevel"/>
    <w:tmpl w:val="5B4FA6FD"/>
    <w:lvl w:ilvl="0">
      <w:start w:val="1"/>
      <w:numFmt w:val="decimal"/>
      <w:suff w:val="nothing"/>
      <w:lvlText w:val="%1、"/>
      <w:lvlJc w:val="left"/>
      <w:pPr>
        <w:ind w:left="5670" w:firstLine="0"/>
      </w:pPr>
      <w:rPr>
        <w:rFonts w:ascii="Times New Roman" w:hAnsi="Times New Roman" w:cs="Times New Roman" w:hint="default"/>
      </w:rPr>
    </w:lvl>
  </w:abstractNum>
  <w:num w:numId="1" w16cid:durableId="1030566672">
    <w:abstractNumId w:val="1"/>
  </w:num>
  <w:num w:numId="2" w16cid:durableId="209809561">
    <w:abstractNumId w:val="0"/>
  </w:num>
  <w:num w:numId="3" w16cid:durableId="1531331346">
    <w:abstractNumId w:val="4"/>
  </w:num>
  <w:num w:numId="4" w16cid:durableId="1800563370">
    <w:abstractNumId w:val="2"/>
  </w:num>
  <w:num w:numId="5" w16cid:durableId="2066567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E4"/>
    <w:rsid w:val="00003D10"/>
    <w:rsid w:val="000047F5"/>
    <w:rsid w:val="00010E3D"/>
    <w:rsid w:val="0001244E"/>
    <w:rsid w:val="000138EA"/>
    <w:rsid w:val="00013F92"/>
    <w:rsid w:val="00016071"/>
    <w:rsid w:val="0001677A"/>
    <w:rsid w:val="00016BC1"/>
    <w:rsid w:val="00016F38"/>
    <w:rsid w:val="0002082A"/>
    <w:rsid w:val="00021001"/>
    <w:rsid w:val="00021C03"/>
    <w:rsid w:val="00021F97"/>
    <w:rsid w:val="0002369D"/>
    <w:rsid w:val="00023898"/>
    <w:rsid w:val="00023C58"/>
    <w:rsid w:val="000265BC"/>
    <w:rsid w:val="00026D6E"/>
    <w:rsid w:val="00027B4F"/>
    <w:rsid w:val="00031097"/>
    <w:rsid w:val="00031B49"/>
    <w:rsid w:val="00031E1D"/>
    <w:rsid w:val="00031F89"/>
    <w:rsid w:val="000339E1"/>
    <w:rsid w:val="00033D60"/>
    <w:rsid w:val="0003436E"/>
    <w:rsid w:val="00034AC8"/>
    <w:rsid w:val="00035124"/>
    <w:rsid w:val="00037D57"/>
    <w:rsid w:val="00040C7C"/>
    <w:rsid w:val="00040DF7"/>
    <w:rsid w:val="00042156"/>
    <w:rsid w:val="00042C29"/>
    <w:rsid w:val="000440AF"/>
    <w:rsid w:val="00044535"/>
    <w:rsid w:val="00050D2F"/>
    <w:rsid w:val="00052885"/>
    <w:rsid w:val="00053869"/>
    <w:rsid w:val="00054CFB"/>
    <w:rsid w:val="000555E2"/>
    <w:rsid w:val="00056C08"/>
    <w:rsid w:val="00057064"/>
    <w:rsid w:val="00057E83"/>
    <w:rsid w:val="00060DF1"/>
    <w:rsid w:val="0006138D"/>
    <w:rsid w:val="00061635"/>
    <w:rsid w:val="000622E0"/>
    <w:rsid w:val="000631AB"/>
    <w:rsid w:val="000715AB"/>
    <w:rsid w:val="000720E5"/>
    <w:rsid w:val="000724D4"/>
    <w:rsid w:val="000725F3"/>
    <w:rsid w:val="0007332C"/>
    <w:rsid w:val="000733F0"/>
    <w:rsid w:val="0007393B"/>
    <w:rsid w:val="00073C8D"/>
    <w:rsid w:val="00074B37"/>
    <w:rsid w:val="00076987"/>
    <w:rsid w:val="0007723A"/>
    <w:rsid w:val="00080E8A"/>
    <w:rsid w:val="0008210C"/>
    <w:rsid w:val="00082B81"/>
    <w:rsid w:val="00084271"/>
    <w:rsid w:val="000852A1"/>
    <w:rsid w:val="0008749C"/>
    <w:rsid w:val="00087858"/>
    <w:rsid w:val="000900AF"/>
    <w:rsid w:val="00090106"/>
    <w:rsid w:val="0009231C"/>
    <w:rsid w:val="00093501"/>
    <w:rsid w:val="00094017"/>
    <w:rsid w:val="00094BA4"/>
    <w:rsid w:val="00094D7E"/>
    <w:rsid w:val="00094EAF"/>
    <w:rsid w:val="00095189"/>
    <w:rsid w:val="00097441"/>
    <w:rsid w:val="00097800"/>
    <w:rsid w:val="00097E8C"/>
    <w:rsid w:val="000A1188"/>
    <w:rsid w:val="000A2378"/>
    <w:rsid w:val="000A37B6"/>
    <w:rsid w:val="000A3A26"/>
    <w:rsid w:val="000A3EF2"/>
    <w:rsid w:val="000A4CB3"/>
    <w:rsid w:val="000A5485"/>
    <w:rsid w:val="000A56F5"/>
    <w:rsid w:val="000A6874"/>
    <w:rsid w:val="000B0617"/>
    <w:rsid w:val="000B1DDD"/>
    <w:rsid w:val="000B1FA6"/>
    <w:rsid w:val="000B2261"/>
    <w:rsid w:val="000B28B7"/>
    <w:rsid w:val="000B2AB9"/>
    <w:rsid w:val="000B38DF"/>
    <w:rsid w:val="000B41AF"/>
    <w:rsid w:val="000B5E59"/>
    <w:rsid w:val="000B6397"/>
    <w:rsid w:val="000B66C4"/>
    <w:rsid w:val="000B7B4F"/>
    <w:rsid w:val="000B7C46"/>
    <w:rsid w:val="000C15F8"/>
    <w:rsid w:val="000C1C22"/>
    <w:rsid w:val="000C7937"/>
    <w:rsid w:val="000D155A"/>
    <w:rsid w:val="000E0C0E"/>
    <w:rsid w:val="000E2603"/>
    <w:rsid w:val="000E2B4A"/>
    <w:rsid w:val="000E3117"/>
    <w:rsid w:val="000E322D"/>
    <w:rsid w:val="000E3271"/>
    <w:rsid w:val="000E466E"/>
    <w:rsid w:val="000F01FF"/>
    <w:rsid w:val="000F1897"/>
    <w:rsid w:val="000F276C"/>
    <w:rsid w:val="000F451D"/>
    <w:rsid w:val="000F4B3A"/>
    <w:rsid w:val="000F5114"/>
    <w:rsid w:val="000F7AB0"/>
    <w:rsid w:val="000F7C4C"/>
    <w:rsid w:val="00102DA3"/>
    <w:rsid w:val="001042A2"/>
    <w:rsid w:val="00104B36"/>
    <w:rsid w:val="001051FA"/>
    <w:rsid w:val="00105A9B"/>
    <w:rsid w:val="00105C52"/>
    <w:rsid w:val="00106A53"/>
    <w:rsid w:val="001070DA"/>
    <w:rsid w:val="00110E5F"/>
    <w:rsid w:val="001114B4"/>
    <w:rsid w:val="001115C2"/>
    <w:rsid w:val="00114415"/>
    <w:rsid w:val="001147E1"/>
    <w:rsid w:val="001157B7"/>
    <w:rsid w:val="00115E42"/>
    <w:rsid w:val="00116864"/>
    <w:rsid w:val="00116B57"/>
    <w:rsid w:val="00116F08"/>
    <w:rsid w:val="00122D68"/>
    <w:rsid w:val="00125278"/>
    <w:rsid w:val="001254BB"/>
    <w:rsid w:val="00126280"/>
    <w:rsid w:val="00126355"/>
    <w:rsid w:val="00127D32"/>
    <w:rsid w:val="001334F4"/>
    <w:rsid w:val="00133735"/>
    <w:rsid w:val="00134177"/>
    <w:rsid w:val="00134F9A"/>
    <w:rsid w:val="00135059"/>
    <w:rsid w:val="00136428"/>
    <w:rsid w:val="00136D3E"/>
    <w:rsid w:val="00140586"/>
    <w:rsid w:val="0014100F"/>
    <w:rsid w:val="00142A2A"/>
    <w:rsid w:val="00142B02"/>
    <w:rsid w:val="00143D10"/>
    <w:rsid w:val="00144394"/>
    <w:rsid w:val="0014446E"/>
    <w:rsid w:val="0014476F"/>
    <w:rsid w:val="0014485E"/>
    <w:rsid w:val="00144F4E"/>
    <w:rsid w:val="00151752"/>
    <w:rsid w:val="00152D03"/>
    <w:rsid w:val="001532BF"/>
    <w:rsid w:val="0015374A"/>
    <w:rsid w:val="00154502"/>
    <w:rsid w:val="00156BF2"/>
    <w:rsid w:val="0015769B"/>
    <w:rsid w:val="0016596A"/>
    <w:rsid w:val="0017000A"/>
    <w:rsid w:val="0017110C"/>
    <w:rsid w:val="00171978"/>
    <w:rsid w:val="00173649"/>
    <w:rsid w:val="00174053"/>
    <w:rsid w:val="0017683F"/>
    <w:rsid w:val="00180D85"/>
    <w:rsid w:val="00181009"/>
    <w:rsid w:val="001823D7"/>
    <w:rsid w:val="0018280A"/>
    <w:rsid w:val="00182927"/>
    <w:rsid w:val="00183089"/>
    <w:rsid w:val="001832E8"/>
    <w:rsid w:val="0018416A"/>
    <w:rsid w:val="0018480E"/>
    <w:rsid w:val="00187EBE"/>
    <w:rsid w:val="00191258"/>
    <w:rsid w:val="00191546"/>
    <w:rsid w:val="00191C0E"/>
    <w:rsid w:val="00193022"/>
    <w:rsid w:val="001A247E"/>
    <w:rsid w:val="001A6275"/>
    <w:rsid w:val="001A7BB5"/>
    <w:rsid w:val="001B08A4"/>
    <w:rsid w:val="001B1302"/>
    <w:rsid w:val="001B232E"/>
    <w:rsid w:val="001B2435"/>
    <w:rsid w:val="001B2781"/>
    <w:rsid w:val="001B279C"/>
    <w:rsid w:val="001B29D3"/>
    <w:rsid w:val="001B29EE"/>
    <w:rsid w:val="001B3F9E"/>
    <w:rsid w:val="001B4B74"/>
    <w:rsid w:val="001B5051"/>
    <w:rsid w:val="001B5381"/>
    <w:rsid w:val="001B58EB"/>
    <w:rsid w:val="001B743D"/>
    <w:rsid w:val="001C061B"/>
    <w:rsid w:val="001C1673"/>
    <w:rsid w:val="001C204A"/>
    <w:rsid w:val="001C2176"/>
    <w:rsid w:val="001C2F25"/>
    <w:rsid w:val="001C3549"/>
    <w:rsid w:val="001C3CB1"/>
    <w:rsid w:val="001C5B91"/>
    <w:rsid w:val="001D04DB"/>
    <w:rsid w:val="001D1C50"/>
    <w:rsid w:val="001D1F0B"/>
    <w:rsid w:val="001D2E90"/>
    <w:rsid w:val="001D5165"/>
    <w:rsid w:val="001D61B8"/>
    <w:rsid w:val="001D79E8"/>
    <w:rsid w:val="001D7DC4"/>
    <w:rsid w:val="001E05CD"/>
    <w:rsid w:val="001E1276"/>
    <w:rsid w:val="001E2AA3"/>
    <w:rsid w:val="001E4354"/>
    <w:rsid w:val="001E4648"/>
    <w:rsid w:val="001E5AEA"/>
    <w:rsid w:val="001E6288"/>
    <w:rsid w:val="001E6482"/>
    <w:rsid w:val="001E6E8F"/>
    <w:rsid w:val="001E73C4"/>
    <w:rsid w:val="001E7E10"/>
    <w:rsid w:val="001E7E26"/>
    <w:rsid w:val="001F017A"/>
    <w:rsid w:val="001F212A"/>
    <w:rsid w:val="001F27C1"/>
    <w:rsid w:val="001F353C"/>
    <w:rsid w:val="001F3C08"/>
    <w:rsid w:val="001F6E2D"/>
    <w:rsid w:val="00201289"/>
    <w:rsid w:val="00201808"/>
    <w:rsid w:val="00201C52"/>
    <w:rsid w:val="00201DBF"/>
    <w:rsid w:val="00202081"/>
    <w:rsid w:val="0020337B"/>
    <w:rsid w:val="002034D1"/>
    <w:rsid w:val="00204669"/>
    <w:rsid w:val="00204C8F"/>
    <w:rsid w:val="002061DE"/>
    <w:rsid w:val="00206AA7"/>
    <w:rsid w:val="00210693"/>
    <w:rsid w:val="00210979"/>
    <w:rsid w:val="002123AE"/>
    <w:rsid w:val="00212A61"/>
    <w:rsid w:val="00213847"/>
    <w:rsid w:val="00214023"/>
    <w:rsid w:val="00214175"/>
    <w:rsid w:val="00217F37"/>
    <w:rsid w:val="00220518"/>
    <w:rsid w:val="00220CDC"/>
    <w:rsid w:val="0022130C"/>
    <w:rsid w:val="00221B45"/>
    <w:rsid w:val="00223314"/>
    <w:rsid w:val="00224DBE"/>
    <w:rsid w:val="0022599A"/>
    <w:rsid w:val="00230206"/>
    <w:rsid w:val="002308D9"/>
    <w:rsid w:val="00230989"/>
    <w:rsid w:val="00230BC2"/>
    <w:rsid w:val="00231941"/>
    <w:rsid w:val="00232723"/>
    <w:rsid w:val="002400CA"/>
    <w:rsid w:val="0024039B"/>
    <w:rsid w:val="0024125D"/>
    <w:rsid w:val="002443CE"/>
    <w:rsid w:val="00244957"/>
    <w:rsid w:val="00244B3F"/>
    <w:rsid w:val="00244FBF"/>
    <w:rsid w:val="002450F2"/>
    <w:rsid w:val="00247035"/>
    <w:rsid w:val="00247D39"/>
    <w:rsid w:val="002500D4"/>
    <w:rsid w:val="00250CFD"/>
    <w:rsid w:val="0025113D"/>
    <w:rsid w:val="00251FF8"/>
    <w:rsid w:val="0025371E"/>
    <w:rsid w:val="002548C8"/>
    <w:rsid w:val="00254970"/>
    <w:rsid w:val="00254D07"/>
    <w:rsid w:val="00254D18"/>
    <w:rsid w:val="002557E3"/>
    <w:rsid w:val="002572FC"/>
    <w:rsid w:val="00257957"/>
    <w:rsid w:val="00260C88"/>
    <w:rsid w:val="00261117"/>
    <w:rsid w:val="00263944"/>
    <w:rsid w:val="00263AD5"/>
    <w:rsid w:val="00263CAA"/>
    <w:rsid w:val="00265B6E"/>
    <w:rsid w:val="00265CC8"/>
    <w:rsid w:val="002723B1"/>
    <w:rsid w:val="0027325A"/>
    <w:rsid w:val="0027330E"/>
    <w:rsid w:val="00274386"/>
    <w:rsid w:val="0027713D"/>
    <w:rsid w:val="00280449"/>
    <w:rsid w:val="00283BDA"/>
    <w:rsid w:val="002840DD"/>
    <w:rsid w:val="00284316"/>
    <w:rsid w:val="002853EC"/>
    <w:rsid w:val="00287ABF"/>
    <w:rsid w:val="00290B16"/>
    <w:rsid w:val="00290FA9"/>
    <w:rsid w:val="00291BE3"/>
    <w:rsid w:val="00293675"/>
    <w:rsid w:val="0029376C"/>
    <w:rsid w:val="00293798"/>
    <w:rsid w:val="00293D04"/>
    <w:rsid w:val="00297E07"/>
    <w:rsid w:val="002A1AD3"/>
    <w:rsid w:val="002A1D2E"/>
    <w:rsid w:val="002A1E3C"/>
    <w:rsid w:val="002A2B1A"/>
    <w:rsid w:val="002A4116"/>
    <w:rsid w:val="002A659F"/>
    <w:rsid w:val="002A6746"/>
    <w:rsid w:val="002B159E"/>
    <w:rsid w:val="002B24E4"/>
    <w:rsid w:val="002B2AC0"/>
    <w:rsid w:val="002B5D31"/>
    <w:rsid w:val="002B5FC1"/>
    <w:rsid w:val="002B7A34"/>
    <w:rsid w:val="002C0166"/>
    <w:rsid w:val="002C017D"/>
    <w:rsid w:val="002C06E1"/>
    <w:rsid w:val="002C19E8"/>
    <w:rsid w:val="002C2B40"/>
    <w:rsid w:val="002D07F4"/>
    <w:rsid w:val="002D0817"/>
    <w:rsid w:val="002D0B46"/>
    <w:rsid w:val="002D43B7"/>
    <w:rsid w:val="002D440C"/>
    <w:rsid w:val="002D4935"/>
    <w:rsid w:val="002D4B4E"/>
    <w:rsid w:val="002D6E94"/>
    <w:rsid w:val="002D7F78"/>
    <w:rsid w:val="002E1FAD"/>
    <w:rsid w:val="002E4BFF"/>
    <w:rsid w:val="002E5AA3"/>
    <w:rsid w:val="002E5DC4"/>
    <w:rsid w:val="002E61A3"/>
    <w:rsid w:val="002E6FD6"/>
    <w:rsid w:val="002E74D3"/>
    <w:rsid w:val="002F1521"/>
    <w:rsid w:val="002F3321"/>
    <w:rsid w:val="002F40A0"/>
    <w:rsid w:val="002F45CE"/>
    <w:rsid w:val="002F4627"/>
    <w:rsid w:val="002F5A6F"/>
    <w:rsid w:val="002F7E18"/>
    <w:rsid w:val="00300AAE"/>
    <w:rsid w:val="003036F7"/>
    <w:rsid w:val="00304249"/>
    <w:rsid w:val="00305117"/>
    <w:rsid w:val="00306332"/>
    <w:rsid w:val="003110C6"/>
    <w:rsid w:val="003120EE"/>
    <w:rsid w:val="003136A6"/>
    <w:rsid w:val="003141DC"/>
    <w:rsid w:val="00317403"/>
    <w:rsid w:val="00317A85"/>
    <w:rsid w:val="003236F4"/>
    <w:rsid w:val="00324ABD"/>
    <w:rsid w:val="003254C6"/>
    <w:rsid w:val="00325C57"/>
    <w:rsid w:val="00330308"/>
    <w:rsid w:val="00331368"/>
    <w:rsid w:val="00332B44"/>
    <w:rsid w:val="00333C27"/>
    <w:rsid w:val="00333C57"/>
    <w:rsid w:val="003340CB"/>
    <w:rsid w:val="00335BB5"/>
    <w:rsid w:val="003365E9"/>
    <w:rsid w:val="00336F95"/>
    <w:rsid w:val="00337CF9"/>
    <w:rsid w:val="00343140"/>
    <w:rsid w:val="00343835"/>
    <w:rsid w:val="003455E1"/>
    <w:rsid w:val="0034660D"/>
    <w:rsid w:val="00350729"/>
    <w:rsid w:val="00353806"/>
    <w:rsid w:val="00353F89"/>
    <w:rsid w:val="00354F72"/>
    <w:rsid w:val="003600D1"/>
    <w:rsid w:val="00360A3B"/>
    <w:rsid w:val="00363073"/>
    <w:rsid w:val="003632E0"/>
    <w:rsid w:val="003635E0"/>
    <w:rsid w:val="00363912"/>
    <w:rsid w:val="00364BBA"/>
    <w:rsid w:val="00366761"/>
    <w:rsid w:val="00367061"/>
    <w:rsid w:val="003705D6"/>
    <w:rsid w:val="00370ED1"/>
    <w:rsid w:val="00371639"/>
    <w:rsid w:val="003729D7"/>
    <w:rsid w:val="00376F3F"/>
    <w:rsid w:val="003810E5"/>
    <w:rsid w:val="003813D1"/>
    <w:rsid w:val="00382B59"/>
    <w:rsid w:val="003871B7"/>
    <w:rsid w:val="00390130"/>
    <w:rsid w:val="00392955"/>
    <w:rsid w:val="00395C43"/>
    <w:rsid w:val="003A15FD"/>
    <w:rsid w:val="003A1B8D"/>
    <w:rsid w:val="003A32A0"/>
    <w:rsid w:val="003A3F8F"/>
    <w:rsid w:val="003A4153"/>
    <w:rsid w:val="003A538D"/>
    <w:rsid w:val="003B0840"/>
    <w:rsid w:val="003B0B89"/>
    <w:rsid w:val="003B471F"/>
    <w:rsid w:val="003B6A62"/>
    <w:rsid w:val="003B72A2"/>
    <w:rsid w:val="003C2FDD"/>
    <w:rsid w:val="003C3442"/>
    <w:rsid w:val="003C428D"/>
    <w:rsid w:val="003C7FB3"/>
    <w:rsid w:val="003D14B1"/>
    <w:rsid w:val="003D1F9F"/>
    <w:rsid w:val="003D4BF4"/>
    <w:rsid w:val="003D4D6E"/>
    <w:rsid w:val="003D59B2"/>
    <w:rsid w:val="003D5AA3"/>
    <w:rsid w:val="003D5B4A"/>
    <w:rsid w:val="003D632A"/>
    <w:rsid w:val="003D6559"/>
    <w:rsid w:val="003E0081"/>
    <w:rsid w:val="003E1EBB"/>
    <w:rsid w:val="003E2539"/>
    <w:rsid w:val="003E4CFD"/>
    <w:rsid w:val="003E5C5F"/>
    <w:rsid w:val="003E6C26"/>
    <w:rsid w:val="003E7674"/>
    <w:rsid w:val="003F1677"/>
    <w:rsid w:val="003F239C"/>
    <w:rsid w:val="003F49E4"/>
    <w:rsid w:val="003F4FC4"/>
    <w:rsid w:val="003F7AC8"/>
    <w:rsid w:val="00400441"/>
    <w:rsid w:val="00401655"/>
    <w:rsid w:val="00401AD4"/>
    <w:rsid w:val="004038BB"/>
    <w:rsid w:val="004052E8"/>
    <w:rsid w:val="0040648D"/>
    <w:rsid w:val="004068FB"/>
    <w:rsid w:val="00407F9A"/>
    <w:rsid w:val="00411D84"/>
    <w:rsid w:val="00412539"/>
    <w:rsid w:val="0041480F"/>
    <w:rsid w:val="00415ADC"/>
    <w:rsid w:val="00416278"/>
    <w:rsid w:val="00416807"/>
    <w:rsid w:val="00417063"/>
    <w:rsid w:val="00420A90"/>
    <w:rsid w:val="00421053"/>
    <w:rsid w:val="00422651"/>
    <w:rsid w:val="00427805"/>
    <w:rsid w:val="00434756"/>
    <w:rsid w:val="00434B2E"/>
    <w:rsid w:val="00435D50"/>
    <w:rsid w:val="0044057E"/>
    <w:rsid w:val="00442A32"/>
    <w:rsid w:val="004430EC"/>
    <w:rsid w:val="00443C4A"/>
    <w:rsid w:val="004446D7"/>
    <w:rsid w:val="004458E4"/>
    <w:rsid w:val="00447B19"/>
    <w:rsid w:val="00450BA2"/>
    <w:rsid w:val="004522A1"/>
    <w:rsid w:val="004523E7"/>
    <w:rsid w:val="00452785"/>
    <w:rsid w:val="00452AB7"/>
    <w:rsid w:val="00454C73"/>
    <w:rsid w:val="004550C6"/>
    <w:rsid w:val="00456E64"/>
    <w:rsid w:val="00457764"/>
    <w:rsid w:val="00460E04"/>
    <w:rsid w:val="00462BA5"/>
    <w:rsid w:val="00462D63"/>
    <w:rsid w:val="00464491"/>
    <w:rsid w:val="0046474C"/>
    <w:rsid w:val="004652D5"/>
    <w:rsid w:val="00465E57"/>
    <w:rsid w:val="00466343"/>
    <w:rsid w:val="00472816"/>
    <w:rsid w:val="00472A6F"/>
    <w:rsid w:val="004732EE"/>
    <w:rsid w:val="00475E72"/>
    <w:rsid w:val="0047639D"/>
    <w:rsid w:val="00476911"/>
    <w:rsid w:val="00476913"/>
    <w:rsid w:val="00476FF9"/>
    <w:rsid w:val="00477B90"/>
    <w:rsid w:val="00482CB5"/>
    <w:rsid w:val="004832AE"/>
    <w:rsid w:val="0048397C"/>
    <w:rsid w:val="004853BF"/>
    <w:rsid w:val="0048692B"/>
    <w:rsid w:val="00486E44"/>
    <w:rsid w:val="004877C6"/>
    <w:rsid w:val="0049021E"/>
    <w:rsid w:val="00491016"/>
    <w:rsid w:val="00494BA9"/>
    <w:rsid w:val="00496DD6"/>
    <w:rsid w:val="004A2BCE"/>
    <w:rsid w:val="004A3915"/>
    <w:rsid w:val="004A3BA8"/>
    <w:rsid w:val="004A463B"/>
    <w:rsid w:val="004A4D84"/>
    <w:rsid w:val="004A6533"/>
    <w:rsid w:val="004A66B2"/>
    <w:rsid w:val="004B0E2C"/>
    <w:rsid w:val="004B0FA1"/>
    <w:rsid w:val="004B1814"/>
    <w:rsid w:val="004B2F16"/>
    <w:rsid w:val="004B68B3"/>
    <w:rsid w:val="004B6D89"/>
    <w:rsid w:val="004B6DFD"/>
    <w:rsid w:val="004B7309"/>
    <w:rsid w:val="004C01BE"/>
    <w:rsid w:val="004C14E4"/>
    <w:rsid w:val="004C3E11"/>
    <w:rsid w:val="004C436C"/>
    <w:rsid w:val="004C67C6"/>
    <w:rsid w:val="004D1A59"/>
    <w:rsid w:val="004D1E87"/>
    <w:rsid w:val="004D2264"/>
    <w:rsid w:val="004D27F4"/>
    <w:rsid w:val="004D2DEE"/>
    <w:rsid w:val="004D2ED8"/>
    <w:rsid w:val="004D310B"/>
    <w:rsid w:val="004D4696"/>
    <w:rsid w:val="004D5249"/>
    <w:rsid w:val="004E0ABC"/>
    <w:rsid w:val="004E2457"/>
    <w:rsid w:val="004E2A93"/>
    <w:rsid w:val="004E3E92"/>
    <w:rsid w:val="004F2600"/>
    <w:rsid w:val="004F354F"/>
    <w:rsid w:val="004F471A"/>
    <w:rsid w:val="004F50D8"/>
    <w:rsid w:val="004F55A3"/>
    <w:rsid w:val="004F5D9A"/>
    <w:rsid w:val="004F7BEE"/>
    <w:rsid w:val="0050058C"/>
    <w:rsid w:val="005028FB"/>
    <w:rsid w:val="00503DFA"/>
    <w:rsid w:val="00504E09"/>
    <w:rsid w:val="00506BFF"/>
    <w:rsid w:val="00511768"/>
    <w:rsid w:val="00511C34"/>
    <w:rsid w:val="00513011"/>
    <w:rsid w:val="00516D21"/>
    <w:rsid w:val="0051744A"/>
    <w:rsid w:val="00520241"/>
    <w:rsid w:val="0052088F"/>
    <w:rsid w:val="00521144"/>
    <w:rsid w:val="00521731"/>
    <w:rsid w:val="005226D6"/>
    <w:rsid w:val="00523372"/>
    <w:rsid w:val="00524410"/>
    <w:rsid w:val="00525854"/>
    <w:rsid w:val="0052603F"/>
    <w:rsid w:val="00527585"/>
    <w:rsid w:val="00527692"/>
    <w:rsid w:val="005315B4"/>
    <w:rsid w:val="00533148"/>
    <w:rsid w:val="00534589"/>
    <w:rsid w:val="00535D74"/>
    <w:rsid w:val="00536F6D"/>
    <w:rsid w:val="0054153F"/>
    <w:rsid w:val="0054379B"/>
    <w:rsid w:val="00543E49"/>
    <w:rsid w:val="005440AD"/>
    <w:rsid w:val="00550099"/>
    <w:rsid w:val="0055166D"/>
    <w:rsid w:val="00552077"/>
    <w:rsid w:val="0055271C"/>
    <w:rsid w:val="00552AC2"/>
    <w:rsid w:val="005533EC"/>
    <w:rsid w:val="00554488"/>
    <w:rsid w:val="005545E1"/>
    <w:rsid w:val="00554B64"/>
    <w:rsid w:val="0055774A"/>
    <w:rsid w:val="005603C9"/>
    <w:rsid w:val="005607BE"/>
    <w:rsid w:val="00560E6E"/>
    <w:rsid w:val="00562247"/>
    <w:rsid w:val="005628CF"/>
    <w:rsid w:val="00564A8B"/>
    <w:rsid w:val="0056718E"/>
    <w:rsid w:val="005672DB"/>
    <w:rsid w:val="00567ADA"/>
    <w:rsid w:val="0057195F"/>
    <w:rsid w:val="00575F4E"/>
    <w:rsid w:val="00576622"/>
    <w:rsid w:val="005776B9"/>
    <w:rsid w:val="00580D6E"/>
    <w:rsid w:val="00580E76"/>
    <w:rsid w:val="005813A0"/>
    <w:rsid w:val="00585257"/>
    <w:rsid w:val="00585454"/>
    <w:rsid w:val="00586881"/>
    <w:rsid w:val="00586984"/>
    <w:rsid w:val="0058717A"/>
    <w:rsid w:val="005872F9"/>
    <w:rsid w:val="005873EF"/>
    <w:rsid w:val="0059174B"/>
    <w:rsid w:val="00591993"/>
    <w:rsid w:val="00592725"/>
    <w:rsid w:val="00592AEE"/>
    <w:rsid w:val="00594CEB"/>
    <w:rsid w:val="0059520B"/>
    <w:rsid w:val="0059549E"/>
    <w:rsid w:val="005954DC"/>
    <w:rsid w:val="005962A9"/>
    <w:rsid w:val="00596CFA"/>
    <w:rsid w:val="00597AE0"/>
    <w:rsid w:val="005A00B0"/>
    <w:rsid w:val="005A1465"/>
    <w:rsid w:val="005A396E"/>
    <w:rsid w:val="005A4BA2"/>
    <w:rsid w:val="005A70FC"/>
    <w:rsid w:val="005A7981"/>
    <w:rsid w:val="005B0F42"/>
    <w:rsid w:val="005B12F7"/>
    <w:rsid w:val="005B2E2F"/>
    <w:rsid w:val="005B47EC"/>
    <w:rsid w:val="005B4A0C"/>
    <w:rsid w:val="005B5945"/>
    <w:rsid w:val="005B5A58"/>
    <w:rsid w:val="005B753D"/>
    <w:rsid w:val="005C187D"/>
    <w:rsid w:val="005C1A31"/>
    <w:rsid w:val="005C20C2"/>
    <w:rsid w:val="005C47B0"/>
    <w:rsid w:val="005C4926"/>
    <w:rsid w:val="005C4A47"/>
    <w:rsid w:val="005C5720"/>
    <w:rsid w:val="005C7F19"/>
    <w:rsid w:val="005D30A5"/>
    <w:rsid w:val="005D3389"/>
    <w:rsid w:val="005D5118"/>
    <w:rsid w:val="005D5661"/>
    <w:rsid w:val="005D7CCF"/>
    <w:rsid w:val="005D7FA2"/>
    <w:rsid w:val="005E3E29"/>
    <w:rsid w:val="005E6A9D"/>
    <w:rsid w:val="005F215B"/>
    <w:rsid w:val="005F31A6"/>
    <w:rsid w:val="005F6224"/>
    <w:rsid w:val="005F6AB5"/>
    <w:rsid w:val="005F7CDF"/>
    <w:rsid w:val="00600CDB"/>
    <w:rsid w:val="00601959"/>
    <w:rsid w:val="006027E3"/>
    <w:rsid w:val="00603FFE"/>
    <w:rsid w:val="006042D5"/>
    <w:rsid w:val="00604CDD"/>
    <w:rsid w:val="00605169"/>
    <w:rsid w:val="00606ABE"/>
    <w:rsid w:val="00607068"/>
    <w:rsid w:val="00607E40"/>
    <w:rsid w:val="00610AEC"/>
    <w:rsid w:val="006114DB"/>
    <w:rsid w:val="00612608"/>
    <w:rsid w:val="00612B76"/>
    <w:rsid w:val="00612E7C"/>
    <w:rsid w:val="0061430C"/>
    <w:rsid w:val="00616723"/>
    <w:rsid w:val="006178FF"/>
    <w:rsid w:val="006205FA"/>
    <w:rsid w:val="006206F6"/>
    <w:rsid w:val="00621947"/>
    <w:rsid w:val="00621AAE"/>
    <w:rsid w:val="006234B9"/>
    <w:rsid w:val="0062375F"/>
    <w:rsid w:val="006252E6"/>
    <w:rsid w:val="00626100"/>
    <w:rsid w:val="006271BD"/>
    <w:rsid w:val="006278D1"/>
    <w:rsid w:val="00627CB7"/>
    <w:rsid w:val="00631CB5"/>
    <w:rsid w:val="00632490"/>
    <w:rsid w:val="00633B0C"/>
    <w:rsid w:val="00633D7C"/>
    <w:rsid w:val="0063600E"/>
    <w:rsid w:val="0063693F"/>
    <w:rsid w:val="00640063"/>
    <w:rsid w:val="0064022E"/>
    <w:rsid w:val="00641476"/>
    <w:rsid w:val="006417D0"/>
    <w:rsid w:val="006427B8"/>
    <w:rsid w:val="00642895"/>
    <w:rsid w:val="00642BFE"/>
    <w:rsid w:val="00642DBB"/>
    <w:rsid w:val="00644018"/>
    <w:rsid w:val="00644C1B"/>
    <w:rsid w:val="00645D70"/>
    <w:rsid w:val="00645E7E"/>
    <w:rsid w:val="00646177"/>
    <w:rsid w:val="00646703"/>
    <w:rsid w:val="0065290A"/>
    <w:rsid w:val="00654724"/>
    <w:rsid w:val="00654948"/>
    <w:rsid w:val="0065581A"/>
    <w:rsid w:val="0065626F"/>
    <w:rsid w:val="00657A95"/>
    <w:rsid w:val="00660E9A"/>
    <w:rsid w:val="00662644"/>
    <w:rsid w:val="006638B3"/>
    <w:rsid w:val="006641B0"/>
    <w:rsid w:val="00665038"/>
    <w:rsid w:val="00666F4F"/>
    <w:rsid w:val="006675F1"/>
    <w:rsid w:val="00670093"/>
    <w:rsid w:val="00670470"/>
    <w:rsid w:val="00671E40"/>
    <w:rsid w:val="00672524"/>
    <w:rsid w:val="00672C0F"/>
    <w:rsid w:val="00673076"/>
    <w:rsid w:val="00673AD9"/>
    <w:rsid w:val="006753C2"/>
    <w:rsid w:val="006771A9"/>
    <w:rsid w:val="0067745D"/>
    <w:rsid w:val="00677623"/>
    <w:rsid w:val="006814B3"/>
    <w:rsid w:val="00682D37"/>
    <w:rsid w:val="006833AF"/>
    <w:rsid w:val="00683777"/>
    <w:rsid w:val="00683B14"/>
    <w:rsid w:val="00683F25"/>
    <w:rsid w:val="006846FB"/>
    <w:rsid w:val="00684A40"/>
    <w:rsid w:val="00684B1B"/>
    <w:rsid w:val="00685F64"/>
    <w:rsid w:val="00687116"/>
    <w:rsid w:val="00687751"/>
    <w:rsid w:val="00691015"/>
    <w:rsid w:val="00691025"/>
    <w:rsid w:val="0069197E"/>
    <w:rsid w:val="00691B94"/>
    <w:rsid w:val="00693A67"/>
    <w:rsid w:val="00693D1A"/>
    <w:rsid w:val="006947D8"/>
    <w:rsid w:val="00694A56"/>
    <w:rsid w:val="006951BB"/>
    <w:rsid w:val="0069594A"/>
    <w:rsid w:val="006970ED"/>
    <w:rsid w:val="006978B8"/>
    <w:rsid w:val="006A079D"/>
    <w:rsid w:val="006A0AB9"/>
    <w:rsid w:val="006A1094"/>
    <w:rsid w:val="006A1AFA"/>
    <w:rsid w:val="006A4029"/>
    <w:rsid w:val="006A4B9F"/>
    <w:rsid w:val="006A5FD9"/>
    <w:rsid w:val="006B1537"/>
    <w:rsid w:val="006B1805"/>
    <w:rsid w:val="006B2319"/>
    <w:rsid w:val="006B3A51"/>
    <w:rsid w:val="006B7E2E"/>
    <w:rsid w:val="006C17B6"/>
    <w:rsid w:val="006C1F0E"/>
    <w:rsid w:val="006C2AE5"/>
    <w:rsid w:val="006C5C44"/>
    <w:rsid w:val="006C6023"/>
    <w:rsid w:val="006C7873"/>
    <w:rsid w:val="006C78EA"/>
    <w:rsid w:val="006C78EE"/>
    <w:rsid w:val="006C7D0A"/>
    <w:rsid w:val="006D241F"/>
    <w:rsid w:val="006D34F1"/>
    <w:rsid w:val="006D389A"/>
    <w:rsid w:val="006D455A"/>
    <w:rsid w:val="006D4F27"/>
    <w:rsid w:val="006D55F8"/>
    <w:rsid w:val="006D6756"/>
    <w:rsid w:val="006E1160"/>
    <w:rsid w:val="006E1F45"/>
    <w:rsid w:val="006E48D1"/>
    <w:rsid w:val="006E6A14"/>
    <w:rsid w:val="006E6AA2"/>
    <w:rsid w:val="006E7324"/>
    <w:rsid w:val="006E76A3"/>
    <w:rsid w:val="006E7CEF"/>
    <w:rsid w:val="006F1149"/>
    <w:rsid w:val="006F12B4"/>
    <w:rsid w:val="006F1A70"/>
    <w:rsid w:val="006F2055"/>
    <w:rsid w:val="006F29CE"/>
    <w:rsid w:val="006F3961"/>
    <w:rsid w:val="006F3A35"/>
    <w:rsid w:val="006F3B00"/>
    <w:rsid w:val="006F55B6"/>
    <w:rsid w:val="006F79A6"/>
    <w:rsid w:val="007008A7"/>
    <w:rsid w:val="00702B1F"/>
    <w:rsid w:val="00703E9A"/>
    <w:rsid w:val="0070405C"/>
    <w:rsid w:val="007050B6"/>
    <w:rsid w:val="0070526C"/>
    <w:rsid w:val="0070664D"/>
    <w:rsid w:val="00707403"/>
    <w:rsid w:val="007077B4"/>
    <w:rsid w:val="0071537A"/>
    <w:rsid w:val="00715C52"/>
    <w:rsid w:val="00717280"/>
    <w:rsid w:val="0071738B"/>
    <w:rsid w:val="00720BB0"/>
    <w:rsid w:val="00721ED9"/>
    <w:rsid w:val="00722202"/>
    <w:rsid w:val="00722C6F"/>
    <w:rsid w:val="00723019"/>
    <w:rsid w:val="0072318F"/>
    <w:rsid w:val="007257CF"/>
    <w:rsid w:val="00726B46"/>
    <w:rsid w:val="00727BD0"/>
    <w:rsid w:val="00730E55"/>
    <w:rsid w:val="00731274"/>
    <w:rsid w:val="0073139A"/>
    <w:rsid w:val="00732012"/>
    <w:rsid w:val="007328A8"/>
    <w:rsid w:val="0073386C"/>
    <w:rsid w:val="00733BEE"/>
    <w:rsid w:val="0073499E"/>
    <w:rsid w:val="00734A80"/>
    <w:rsid w:val="007352BC"/>
    <w:rsid w:val="00735910"/>
    <w:rsid w:val="007371B7"/>
    <w:rsid w:val="00740184"/>
    <w:rsid w:val="007402E0"/>
    <w:rsid w:val="00743E6A"/>
    <w:rsid w:val="00745B65"/>
    <w:rsid w:val="00746877"/>
    <w:rsid w:val="0075066A"/>
    <w:rsid w:val="00753194"/>
    <w:rsid w:val="00754786"/>
    <w:rsid w:val="00757ADB"/>
    <w:rsid w:val="00760D61"/>
    <w:rsid w:val="007611E8"/>
    <w:rsid w:val="00761851"/>
    <w:rsid w:val="007621D4"/>
    <w:rsid w:val="00767DF3"/>
    <w:rsid w:val="00773A35"/>
    <w:rsid w:val="00773C1E"/>
    <w:rsid w:val="00774D70"/>
    <w:rsid w:val="0077584E"/>
    <w:rsid w:val="00777414"/>
    <w:rsid w:val="0077750D"/>
    <w:rsid w:val="00777A30"/>
    <w:rsid w:val="0078062C"/>
    <w:rsid w:val="00780F8D"/>
    <w:rsid w:val="0078520D"/>
    <w:rsid w:val="007858F6"/>
    <w:rsid w:val="00786B20"/>
    <w:rsid w:val="00791F80"/>
    <w:rsid w:val="00792B2B"/>
    <w:rsid w:val="00792E9E"/>
    <w:rsid w:val="007957DF"/>
    <w:rsid w:val="00796A29"/>
    <w:rsid w:val="00796FCC"/>
    <w:rsid w:val="007A0250"/>
    <w:rsid w:val="007A04DE"/>
    <w:rsid w:val="007A2797"/>
    <w:rsid w:val="007A28F3"/>
    <w:rsid w:val="007A2DF4"/>
    <w:rsid w:val="007A3B4F"/>
    <w:rsid w:val="007A4AEE"/>
    <w:rsid w:val="007A6B48"/>
    <w:rsid w:val="007B0C98"/>
    <w:rsid w:val="007B109E"/>
    <w:rsid w:val="007B2259"/>
    <w:rsid w:val="007B27C9"/>
    <w:rsid w:val="007B3A84"/>
    <w:rsid w:val="007B5259"/>
    <w:rsid w:val="007B52B5"/>
    <w:rsid w:val="007B5DE0"/>
    <w:rsid w:val="007B6329"/>
    <w:rsid w:val="007B6F78"/>
    <w:rsid w:val="007C3BC4"/>
    <w:rsid w:val="007C4B48"/>
    <w:rsid w:val="007C4C4C"/>
    <w:rsid w:val="007C4DC4"/>
    <w:rsid w:val="007C5D68"/>
    <w:rsid w:val="007C5DB6"/>
    <w:rsid w:val="007D3458"/>
    <w:rsid w:val="007D552C"/>
    <w:rsid w:val="007D5A27"/>
    <w:rsid w:val="007D5BA1"/>
    <w:rsid w:val="007D5CE7"/>
    <w:rsid w:val="007D73F0"/>
    <w:rsid w:val="007D7FE7"/>
    <w:rsid w:val="007E13EF"/>
    <w:rsid w:val="007E2DE6"/>
    <w:rsid w:val="007E3439"/>
    <w:rsid w:val="007E3C47"/>
    <w:rsid w:val="007E3DF0"/>
    <w:rsid w:val="007E52AD"/>
    <w:rsid w:val="007E56CF"/>
    <w:rsid w:val="007E5FFD"/>
    <w:rsid w:val="007E763E"/>
    <w:rsid w:val="007E7A32"/>
    <w:rsid w:val="007F06AF"/>
    <w:rsid w:val="007F120A"/>
    <w:rsid w:val="007F2A0B"/>
    <w:rsid w:val="007F45EC"/>
    <w:rsid w:val="007F6CD5"/>
    <w:rsid w:val="007F70D6"/>
    <w:rsid w:val="007F7A08"/>
    <w:rsid w:val="008010BB"/>
    <w:rsid w:val="0080176C"/>
    <w:rsid w:val="00801E01"/>
    <w:rsid w:val="00804D4F"/>
    <w:rsid w:val="00805015"/>
    <w:rsid w:val="00805468"/>
    <w:rsid w:val="00806864"/>
    <w:rsid w:val="0080688E"/>
    <w:rsid w:val="00807E09"/>
    <w:rsid w:val="0081041C"/>
    <w:rsid w:val="008111F9"/>
    <w:rsid w:val="00811B61"/>
    <w:rsid w:val="00811BE0"/>
    <w:rsid w:val="0081338F"/>
    <w:rsid w:val="008138A7"/>
    <w:rsid w:val="00813EE0"/>
    <w:rsid w:val="00813F8B"/>
    <w:rsid w:val="0081442B"/>
    <w:rsid w:val="00814E37"/>
    <w:rsid w:val="0081569B"/>
    <w:rsid w:val="008174DE"/>
    <w:rsid w:val="00824285"/>
    <w:rsid w:val="008267D7"/>
    <w:rsid w:val="00827066"/>
    <w:rsid w:val="00830669"/>
    <w:rsid w:val="00831B69"/>
    <w:rsid w:val="00831BCB"/>
    <w:rsid w:val="00833B56"/>
    <w:rsid w:val="0083413C"/>
    <w:rsid w:val="00834516"/>
    <w:rsid w:val="0083494D"/>
    <w:rsid w:val="00834AA2"/>
    <w:rsid w:val="00834CA9"/>
    <w:rsid w:val="00834F3A"/>
    <w:rsid w:val="00841613"/>
    <w:rsid w:val="00842B17"/>
    <w:rsid w:val="0084357C"/>
    <w:rsid w:val="00844B37"/>
    <w:rsid w:val="00846F28"/>
    <w:rsid w:val="00847EB4"/>
    <w:rsid w:val="008510CE"/>
    <w:rsid w:val="008511CA"/>
    <w:rsid w:val="008512E4"/>
    <w:rsid w:val="00851B94"/>
    <w:rsid w:val="0085226C"/>
    <w:rsid w:val="00852840"/>
    <w:rsid w:val="008538B6"/>
    <w:rsid w:val="00854011"/>
    <w:rsid w:val="008551EF"/>
    <w:rsid w:val="00855857"/>
    <w:rsid w:val="00855E1F"/>
    <w:rsid w:val="0086011F"/>
    <w:rsid w:val="008606AB"/>
    <w:rsid w:val="00860F3D"/>
    <w:rsid w:val="008610F2"/>
    <w:rsid w:val="008616BE"/>
    <w:rsid w:val="00865C05"/>
    <w:rsid w:val="00865E15"/>
    <w:rsid w:val="008668D4"/>
    <w:rsid w:val="0086757B"/>
    <w:rsid w:val="00870081"/>
    <w:rsid w:val="00870A49"/>
    <w:rsid w:val="00870B45"/>
    <w:rsid w:val="0087117C"/>
    <w:rsid w:val="00872FF0"/>
    <w:rsid w:val="00874BC6"/>
    <w:rsid w:val="00874D53"/>
    <w:rsid w:val="00882717"/>
    <w:rsid w:val="0088297B"/>
    <w:rsid w:val="00883071"/>
    <w:rsid w:val="008837D8"/>
    <w:rsid w:val="00885AB2"/>
    <w:rsid w:val="0088744B"/>
    <w:rsid w:val="00890B2B"/>
    <w:rsid w:val="00891052"/>
    <w:rsid w:val="00891542"/>
    <w:rsid w:val="00893151"/>
    <w:rsid w:val="0089362F"/>
    <w:rsid w:val="00893771"/>
    <w:rsid w:val="00893AC8"/>
    <w:rsid w:val="0089491E"/>
    <w:rsid w:val="00896DBB"/>
    <w:rsid w:val="008A085C"/>
    <w:rsid w:val="008A1B41"/>
    <w:rsid w:val="008A3BA7"/>
    <w:rsid w:val="008A40F0"/>
    <w:rsid w:val="008A46D4"/>
    <w:rsid w:val="008A5526"/>
    <w:rsid w:val="008A6607"/>
    <w:rsid w:val="008A6907"/>
    <w:rsid w:val="008A73B9"/>
    <w:rsid w:val="008B012E"/>
    <w:rsid w:val="008B1E71"/>
    <w:rsid w:val="008B251E"/>
    <w:rsid w:val="008B26A8"/>
    <w:rsid w:val="008B2BB1"/>
    <w:rsid w:val="008B345F"/>
    <w:rsid w:val="008B567F"/>
    <w:rsid w:val="008B7923"/>
    <w:rsid w:val="008B79FB"/>
    <w:rsid w:val="008B7BF2"/>
    <w:rsid w:val="008C0B8E"/>
    <w:rsid w:val="008C10D8"/>
    <w:rsid w:val="008C1F2E"/>
    <w:rsid w:val="008C408F"/>
    <w:rsid w:val="008C56B3"/>
    <w:rsid w:val="008C5FE2"/>
    <w:rsid w:val="008D0835"/>
    <w:rsid w:val="008D191D"/>
    <w:rsid w:val="008D2A7C"/>
    <w:rsid w:val="008D5627"/>
    <w:rsid w:val="008E1081"/>
    <w:rsid w:val="008E1905"/>
    <w:rsid w:val="008E1ACE"/>
    <w:rsid w:val="008E2E27"/>
    <w:rsid w:val="008E4385"/>
    <w:rsid w:val="008E53E1"/>
    <w:rsid w:val="008F2872"/>
    <w:rsid w:val="008F31FE"/>
    <w:rsid w:val="008F77A9"/>
    <w:rsid w:val="008F77F6"/>
    <w:rsid w:val="008F7910"/>
    <w:rsid w:val="0090084C"/>
    <w:rsid w:val="009019C4"/>
    <w:rsid w:val="00903A25"/>
    <w:rsid w:val="00904BA8"/>
    <w:rsid w:val="00904E28"/>
    <w:rsid w:val="00905295"/>
    <w:rsid w:val="00906381"/>
    <w:rsid w:val="009063FA"/>
    <w:rsid w:val="0090722D"/>
    <w:rsid w:val="00907841"/>
    <w:rsid w:val="009105C5"/>
    <w:rsid w:val="009125AB"/>
    <w:rsid w:val="0091288A"/>
    <w:rsid w:val="00912CC7"/>
    <w:rsid w:val="00912CDB"/>
    <w:rsid w:val="00916669"/>
    <w:rsid w:val="00916EE1"/>
    <w:rsid w:val="00921318"/>
    <w:rsid w:val="009218E2"/>
    <w:rsid w:val="0092515D"/>
    <w:rsid w:val="0092604F"/>
    <w:rsid w:val="009260B6"/>
    <w:rsid w:val="00927A92"/>
    <w:rsid w:val="00927C56"/>
    <w:rsid w:val="0093069D"/>
    <w:rsid w:val="00930C02"/>
    <w:rsid w:val="00935656"/>
    <w:rsid w:val="00936F56"/>
    <w:rsid w:val="00940FFE"/>
    <w:rsid w:val="00941CC2"/>
    <w:rsid w:val="009423FA"/>
    <w:rsid w:val="00943635"/>
    <w:rsid w:val="009442A6"/>
    <w:rsid w:val="009445A4"/>
    <w:rsid w:val="009464DF"/>
    <w:rsid w:val="0094651C"/>
    <w:rsid w:val="00946993"/>
    <w:rsid w:val="009531E2"/>
    <w:rsid w:val="009533F3"/>
    <w:rsid w:val="009538E6"/>
    <w:rsid w:val="00953FAD"/>
    <w:rsid w:val="009541DC"/>
    <w:rsid w:val="009548AE"/>
    <w:rsid w:val="00954D99"/>
    <w:rsid w:val="0095543A"/>
    <w:rsid w:val="009568B4"/>
    <w:rsid w:val="009601AB"/>
    <w:rsid w:val="009603D8"/>
    <w:rsid w:val="00960929"/>
    <w:rsid w:val="009623DD"/>
    <w:rsid w:val="00963C49"/>
    <w:rsid w:val="009657C8"/>
    <w:rsid w:val="00965CC7"/>
    <w:rsid w:val="00966479"/>
    <w:rsid w:val="00966804"/>
    <w:rsid w:val="00966B5F"/>
    <w:rsid w:val="00966DEE"/>
    <w:rsid w:val="00970141"/>
    <w:rsid w:val="009701BF"/>
    <w:rsid w:val="00972188"/>
    <w:rsid w:val="00972299"/>
    <w:rsid w:val="00973295"/>
    <w:rsid w:val="00973D3C"/>
    <w:rsid w:val="00973F39"/>
    <w:rsid w:val="00977909"/>
    <w:rsid w:val="00980B98"/>
    <w:rsid w:val="00981E48"/>
    <w:rsid w:val="00983850"/>
    <w:rsid w:val="00984D3C"/>
    <w:rsid w:val="0098580E"/>
    <w:rsid w:val="00990079"/>
    <w:rsid w:val="00992E83"/>
    <w:rsid w:val="00994E7D"/>
    <w:rsid w:val="00995BDB"/>
    <w:rsid w:val="00995C73"/>
    <w:rsid w:val="00996ACC"/>
    <w:rsid w:val="009A0C3C"/>
    <w:rsid w:val="009A21F6"/>
    <w:rsid w:val="009A330A"/>
    <w:rsid w:val="009A3FFB"/>
    <w:rsid w:val="009A45C5"/>
    <w:rsid w:val="009A5B7C"/>
    <w:rsid w:val="009A716B"/>
    <w:rsid w:val="009B08A1"/>
    <w:rsid w:val="009B0E3A"/>
    <w:rsid w:val="009B572B"/>
    <w:rsid w:val="009B5961"/>
    <w:rsid w:val="009B6982"/>
    <w:rsid w:val="009B733A"/>
    <w:rsid w:val="009B7C73"/>
    <w:rsid w:val="009B7E78"/>
    <w:rsid w:val="009C215B"/>
    <w:rsid w:val="009C26AF"/>
    <w:rsid w:val="009C334F"/>
    <w:rsid w:val="009C463D"/>
    <w:rsid w:val="009C63F4"/>
    <w:rsid w:val="009C76F3"/>
    <w:rsid w:val="009C7F3C"/>
    <w:rsid w:val="009D4662"/>
    <w:rsid w:val="009D5656"/>
    <w:rsid w:val="009D5895"/>
    <w:rsid w:val="009D73CB"/>
    <w:rsid w:val="009D7AB0"/>
    <w:rsid w:val="009E0E6D"/>
    <w:rsid w:val="009E0FBA"/>
    <w:rsid w:val="009E5F7B"/>
    <w:rsid w:val="009E6B07"/>
    <w:rsid w:val="009F1D7D"/>
    <w:rsid w:val="009F1E09"/>
    <w:rsid w:val="009F4FC7"/>
    <w:rsid w:val="009F5AA6"/>
    <w:rsid w:val="009F6D4E"/>
    <w:rsid w:val="00A001B5"/>
    <w:rsid w:val="00A00E23"/>
    <w:rsid w:val="00A02F0E"/>
    <w:rsid w:val="00A0364F"/>
    <w:rsid w:val="00A03AB0"/>
    <w:rsid w:val="00A04B68"/>
    <w:rsid w:val="00A06B7A"/>
    <w:rsid w:val="00A06D37"/>
    <w:rsid w:val="00A11393"/>
    <w:rsid w:val="00A117D0"/>
    <w:rsid w:val="00A13370"/>
    <w:rsid w:val="00A13C33"/>
    <w:rsid w:val="00A14FB0"/>
    <w:rsid w:val="00A204AC"/>
    <w:rsid w:val="00A20BBC"/>
    <w:rsid w:val="00A23366"/>
    <w:rsid w:val="00A23634"/>
    <w:rsid w:val="00A249CB"/>
    <w:rsid w:val="00A251BD"/>
    <w:rsid w:val="00A25759"/>
    <w:rsid w:val="00A272A4"/>
    <w:rsid w:val="00A27457"/>
    <w:rsid w:val="00A27E7B"/>
    <w:rsid w:val="00A32694"/>
    <w:rsid w:val="00A331FC"/>
    <w:rsid w:val="00A3361C"/>
    <w:rsid w:val="00A35F7D"/>
    <w:rsid w:val="00A36A39"/>
    <w:rsid w:val="00A432C9"/>
    <w:rsid w:val="00A43875"/>
    <w:rsid w:val="00A43F37"/>
    <w:rsid w:val="00A47DF6"/>
    <w:rsid w:val="00A52057"/>
    <w:rsid w:val="00A5229C"/>
    <w:rsid w:val="00A53A86"/>
    <w:rsid w:val="00A54228"/>
    <w:rsid w:val="00A54CC7"/>
    <w:rsid w:val="00A5763C"/>
    <w:rsid w:val="00A602E8"/>
    <w:rsid w:val="00A605D1"/>
    <w:rsid w:val="00A60B7F"/>
    <w:rsid w:val="00A6193E"/>
    <w:rsid w:val="00A62DE1"/>
    <w:rsid w:val="00A63516"/>
    <w:rsid w:val="00A6375A"/>
    <w:rsid w:val="00A63ED5"/>
    <w:rsid w:val="00A65965"/>
    <w:rsid w:val="00A662ED"/>
    <w:rsid w:val="00A67CBF"/>
    <w:rsid w:val="00A67D5C"/>
    <w:rsid w:val="00A70151"/>
    <w:rsid w:val="00A71069"/>
    <w:rsid w:val="00A72A0A"/>
    <w:rsid w:val="00A730E5"/>
    <w:rsid w:val="00A758B1"/>
    <w:rsid w:val="00A75D7D"/>
    <w:rsid w:val="00A77404"/>
    <w:rsid w:val="00A774A8"/>
    <w:rsid w:val="00A826D7"/>
    <w:rsid w:val="00A83DC3"/>
    <w:rsid w:val="00A8518E"/>
    <w:rsid w:val="00A873FD"/>
    <w:rsid w:val="00A87589"/>
    <w:rsid w:val="00A87FC3"/>
    <w:rsid w:val="00A9042C"/>
    <w:rsid w:val="00A92717"/>
    <w:rsid w:val="00A92AB1"/>
    <w:rsid w:val="00A93ADD"/>
    <w:rsid w:val="00A94B9D"/>
    <w:rsid w:val="00A95EFD"/>
    <w:rsid w:val="00A96413"/>
    <w:rsid w:val="00A97CFA"/>
    <w:rsid w:val="00AA02FA"/>
    <w:rsid w:val="00AA2E70"/>
    <w:rsid w:val="00AA42FF"/>
    <w:rsid w:val="00AA4383"/>
    <w:rsid w:val="00AA6C45"/>
    <w:rsid w:val="00AA7ED1"/>
    <w:rsid w:val="00AB075F"/>
    <w:rsid w:val="00AB1543"/>
    <w:rsid w:val="00AB1B02"/>
    <w:rsid w:val="00AB2385"/>
    <w:rsid w:val="00AB382F"/>
    <w:rsid w:val="00AB460A"/>
    <w:rsid w:val="00AB5945"/>
    <w:rsid w:val="00AB6003"/>
    <w:rsid w:val="00AB7267"/>
    <w:rsid w:val="00AB750E"/>
    <w:rsid w:val="00AB7CBC"/>
    <w:rsid w:val="00AC0795"/>
    <w:rsid w:val="00AC2234"/>
    <w:rsid w:val="00AC4FE0"/>
    <w:rsid w:val="00AC7672"/>
    <w:rsid w:val="00AD2F1B"/>
    <w:rsid w:val="00AD4AFD"/>
    <w:rsid w:val="00AD4DB1"/>
    <w:rsid w:val="00AD537A"/>
    <w:rsid w:val="00AD5AF5"/>
    <w:rsid w:val="00AD601D"/>
    <w:rsid w:val="00AD697F"/>
    <w:rsid w:val="00AE1EDA"/>
    <w:rsid w:val="00AE21E3"/>
    <w:rsid w:val="00AE486E"/>
    <w:rsid w:val="00AE5A3E"/>
    <w:rsid w:val="00AE6A7A"/>
    <w:rsid w:val="00AF0AC5"/>
    <w:rsid w:val="00AF0F84"/>
    <w:rsid w:val="00AF2A76"/>
    <w:rsid w:val="00AF5129"/>
    <w:rsid w:val="00AF571F"/>
    <w:rsid w:val="00AF64FB"/>
    <w:rsid w:val="00AF714C"/>
    <w:rsid w:val="00AF7D39"/>
    <w:rsid w:val="00B019A2"/>
    <w:rsid w:val="00B062F3"/>
    <w:rsid w:val="00B06511"/>
    <w:rsid w:val="00B07176"/>
    <w:rsid w:val="00B07410"/>
    <w:rsid w:val="00B123BC"/>
    <w:rsid w:val="00B132BE"/>
    <w:rsid w:val="00B13D21"/>
    <w:rsid w:val="00B15E7A"/>
    <w:rsid w:val="00B2035B"/>
    <w:rsid w:val="00B212FB"/>
    <w:rsid w:val="00B2134E"/>
    <w:rsid w:val="00B22BDE"/>
    <w:rsid w:val="00B2462F"/>
    <w:rsid w:val="00B25A8A"/>
    <w:rsid w:val="00B33051"/>
    <w:rsid w:val="00B36FAF"/>
    <w:rsid w:val="00B376F1"/>
    <w:rsid w:val="00B3793A"/>
    <w:rsid w:val="00B37E12"/>
    <w:rsid w:val="00B4009D"/>
    <w:rsid w:val="00B414A1"/>
    <w:rsid w:val="00B42CBA"/>
    <w:rsid w:val="00B5085F"/>
    <w:rsid w:val="00B5334B"/>
    <w:rsid w:val="00B57021"/>
    <w:rsid w:val="00B57731"/>
    <w:rsid w:val="00B57E7E"/>
    <w:rsid w:val="00B60EA3"/>
    <w:rsid w:val="00B65154"/>
    <w:rsid w:val="00B65DF4"/>
    <w:rsid w:val="00B66836"/>
    <w:rsid w:val="00B66841"/>
    <w:rsid w:val="00B67C39"/>
    <w:rsid w:val="00B7062E"/>
    <w:rsid w:val="00B71657"/>
    <w:rsid w:val="00B72BD4"/>
    <w:rsid w:val="00B7391E"/>
    <w:rsid w:val="00B74A0D"/>
    <w:rsid w:val="00B76A25"/>
    <w:rsid w:val="00B802E8"/>
    <w:rsid w:val="00B820AD"/>
    <w:rsid w:val="00B82CC5"/>
    <w:rsid w:val="00B84AFC"/>
    <w:rsid w:val="00B8507F"/>
    <w:rsid w:val="00B8740D"/>
    <w:rsid w:val="00B91DAE"/>
    <w:rsid w:val="00B92104"/>
    <w:rsid w:val="00B923A7"/>
    <w:rsid w:val="00B92964"/>
    <w:rsid w:val="00B929C4"/>
    <w:rsid w:val="00B93CA1"/>
    <w:rsid w:val="00B950F4"/>
    <w:rsid w:val="00BA1242"/>
    <w:rsid w:val="00BA4660"/>
    <w:rsid w:val="00BA4BA3"/>
    <w:rsid w:val="00BA56F4"/>
    <w:rsid w:val="00BA5C27"/>
    <w:rsid w:val="00BB0EBD"/>
    <w:rsid w:val="00BB0F0A"/>
    <w:rsid w:val="00BB162F"/>
    <w:rsid w:val="00BB20D4"/>
    <w:rsid w:val="00BB2FFC"/>
    <w:rsid w:val="00BB6827"/>
    <w:rsid w:val="00BB6D23"/>
    <w:rsid w:val="00BC1340"/>
    <w:rsid w:val="00BC1C46"/>
    <w:rsid w:val="00BC4585"/>
    <w:rsid w:val="00BC55D6"/>
    <w:rsid w:val="00BD0C90"/>
    <w:rsid w:val="00BD109D"/>
    <w:rsid w:val="00BD215A"/>
    <w:rsid w:val="00BD26FD"/>
    <w:rsid w:val="00BD271E"/>
    <w:rsid w:val="00BD3E73"/>
    <w:rsid w:val="00BD509A"/>
    <w:rsid w:val="00BD6048"/>
    <w:rsid w:val="00BD675F"/>
    <w:rsid w:val="00BD6CC5"/>
    <w:rsid w:val="00BE0196"/>
    <w:rsid w:val="00BE2A9F"/>
    <w:rsid w:val="00BE4B4D"/>
    <w:rsid w:val="00BE4BF6"/>
    <w:rsid w:val="00BE5348"/>
    <w:rsid w:val="00BE75C3"/>
    <w:rsid w:val="00BE78B0"/>
    <w:rsid w:val="00BE7A72"/>
    <w:rsid w:val="00BF264E"/>
    <w:rsid w:val="00BF3E75"/>
    <w:rsid w:val="00BF5D5D"/>
    <w:rsid w:val="00BF5F14"/>
    <w:rsid w:val="00BF6924"/>
    <w:rsid w:val="00BF6D71"/>
    <w:rsid w:val="00C00088"/>
    <w:rsid w:val="00C02F01"/>
    <w:rsid w:val="00C03B68"/>
    <w:rsid w:val="00C07AD4"/>
    <w:rsid w:val="00C11FF1"/>
    <w:rsid w:val="00C14370"/>
    <w:rsid w:val="00C156C8"/>
    <w:rsid w:val="00C207D4"/>
    <w:rsid w:val="00C235A5"/>
    <w:rsid w:val="00C24610"/>
    <w:rsid w:val="00C25867"/>
    <w:rsid w:val="00C25C4A"/>
    <w:rsid w:val="00C318A5"/>
    <w:rsid w:val="00C32459"/>
    <w:rsid w:val="00C32C81"/>
    <w:rsid w:val="00C3392F"/>
    <w:rsid w:val="00C34092"/>
    <w:rsid w:val="00C34F8E"/>
    <w:rsid w:val="00C429E4"/>
    <w:rsid w:val="00C453E3"/>
    <w:rsid w:val="00C47A03"/>
    <w:rsid w:val="00C51915"/>
    <w:rsid w:val="00C52306"/>
    <w:rsid w:val="00C53091"/>
    <w:rsid w:val="00C5349E"/>
    <w:rsid w:val="00C536C6"/>
    <w:rsid w:val="00C53850"/>
    <w:rsid w:val="00C542E9"/>
    <w:rsid w:val="00C543BD"/>
    <w:rsid w:val="00C55F53"/>
    <w:rsid w:val="00C6190E"/>
    <w:rsid w:val="00C61964"/>
    <w:rsid w:val="00C62731"/>
    <w:rsid w:val="00C636F5"/>
    <w:rsid w:val="00C642CF"/>
    <w:rsid w:val="00C714E7"/>
    <w:rsid w:val="00C715D6"/>
    <w:rsid w:val="00C7166E"/>
    <w:rsid w:val="00C71756"/>
    <w:rsid w:val="00C72723"/>
    <w:rsid w:val="00C7354F"/>
    <w:rsid w:val="00C76009"/>
    <w:rsid w:val="00C775C0"/>
    <w:rsid w:val="00C82659"/>
    <w:rsid w:val="00C82842"/>
    <w:rsid w:val="00C82E4A"/>
    <w:rsid w:val="00C852FC"/>
    <w:rsid w:val="00C85567"/>
    <w:rsid w:val="00C9110D"/>
    <w:rsid w:val="00C91F15"/>
    <w:rsid w:val="00C91FA6"/>
    <w:rsid w:val="00C93243"/>
    <w:rsid w:val="00C952A2"/>
    <w:rsid w:val="00C9548F"/>
    <w:rsid w:val="00C97589"/>
    <w:rsid w:val="00C97B7F"/>
    <w:rsid w:val="00C97FA4"/>
    <w:rsid w:val="00CA10C2"/>
    <w:rsid w:val="00CA2202"/>
    <w:rsid w:val="00CA39E7"/>
    <w:rsid w:val="00CA5F79"/>
    <w:rsid w:val="00CA61E4"/>
    <w:rsid w:val="00CA677A"/>
    <w:rsid w:val="00CA6994"/>
    <w:rsid w:val="00CA72CA"/>
    <w:rsid w:val="00CA7871"/>
    <w:rsid w:val="00CB154A"/>
    <w:rsid w:val="00CB1DB3"/>
    <w:rsid w:val="00CB34DA"/>
    <w:rsid w:val="00CB3E2C"/>
    <w:rsid w:val="00CB4655"/>
    <w:rsid w:val="00CB47AA"/>
    <w:rsid w:val="00CB68C0"/>
    <w:rsid w:val="00CC0F5D"/>
    <w:rsid w:val="00CC199A"/>
    <w:rsid w:val="00CC1C9A"/>
    <w:rsid w:val="00CC1E4D"/>
    <w:rsid w:val="00CC6A0E"/>
    <w:rsid w:val="00CC6D44"/>
    <w:rsid w:val="00CC79D2"/>
    <w:rsid w:val="00CD1C7C"/>
    <w:rsid w:val="00CD335A"/>
    <w:rsid w:val="00CD413F"/>
    <w:rsid w:val="00CD4C9C"/>
    <w:rsid w:val="00CD6758"/>
    <w:rsid w:val="00CD77E4"/>
    <w:rsid w:val="00CD7DD8"/>
    <w:rsid w:val="00CE0ED9"/>
    <w:rsid w:val="00CE1239"/>
    <w:rsid w:val="00CE3333"/>
    <w:rsid w:val="00CE39B9"/>
    <w:rsid w:val="00CE3BD8"/>
    <w:rsid w:val="00CE425D"/>
    <w:rsid w:val="00CE453F"/>
    <w:rsid w:val="00CE4725"/>
    <w:rsid w:val="00CE52F7"/>
    <w:rsid w:val="00CF0D9E"/>
    <w:rsid w:val="00CF0FD1"/>
    <w:rsid w:val="00CF1B13"/>
    <w:rsid w:val="00CF236C"/>
    <w:rsid w:val="00CF2634"/>
    <w:rsid w:val="00CF2AD5"/>
    <w:rsid w:val="00CF4B38"/>
    <w:rsid w:val="00CF7BEE"/>
    <w:rsid w:val="00CF7EF1"/>
    <w:rsid w:val="00D001BC"/>
    <w:rsid w:val="00D0024F"/>
    <w:rsid w:val="00D003C6"/>
    <w:rsid w:val="00D06F58"/>
    <w:rsid w:val="00D07588"/>
    <w:rsid w:val="00D11C26"/>
    <w:rsid w:val="00D11E13"/>
    <w:rsid w:val="00D12836"/>
    <w:rsid w:val="00D1540A"/>
    <w:rsid w:val="00D15881"/>
    <w:rsid w:val="00D1689E"/>
    <w:rsid w:val="00D16CBE"/>
    <w:rsid w:val="00D16D7D"/>
    <w:rsid w:val="00D24E61"/>
    <w:rsid w:val="00D24FA4"/>
    <w:rsid w:val="00D258E1"/>
    <w:rsid w:val="00D2746E"/>
    <w:rsid w:val="00D30143"/>
    <w:rsid w:val="00D3068D"/>
    <w:rsid w:val="00D31CE3"/>
    <w:rsid w:val="00D322AC"/>
    <w:rsid w:val="00D334EF"/>
    <w:rsid w:val="00D34540"/>
    <w:rsid w:val="00D36665"/>
    <w:rsid w:val="00D40097"/>
    <w:rsid w:val="00D40E81"/>
    <w:rsid w:val="00D411D0"/>
    <w:rsid w:val="00D4159D"/>
    <w:rsid w:val="00D41B0E"/>
    <w:rsid w:val="00D41FA3"/>
    <w:rsid w:val="00D42D3A"/>
    <w:rsid w:val="00D448EB"/>
    <w:rsid w:val="00D45880"/>
    <w:rsid w:val="00D46849"/>
    <w:rsid w:val="00D47572"/>
    <w:rsid w:val="00D5058B"/>
    <w:rsid w:val="00D517AB"/>
    <w:rsid w:val="00D5386B"/>
    <w:rsid w:val="00D552B2"/>
    <w:rsid w:val="00D55996"/>
    <w:rsid w:val="00D55AF3"/>
    <w:rsid w:val="00D55D54"/>
    <w:rsid w:val="00D56D83"/>
    <w:rsid w:val="00D571AF"/>
    <w:rsid w:val="00D57D96"/>
    <w:rsid w:val="00D643A9"/>
    <w:rsid w:val="00D653E4"/>
    <w:rsid w:val="00D65A12"/>
    <w:rsid w:val="00D668DB"/>
    <w:rsid w:val="00D67D0C"/>
    <w:rsid w:val="00D7090A"/>
    <w:rsid w:val="00D717D6"/>
    <w:rsid w:val="00D71DFB"/>
    <w:rsid w:val="00D71F4D"/>
    <w:rsid w:val="00D721CD"/>
    <w:rsid w:val="00D7720B"/>
    <w:rsid w:val="00D80003"/>
    <w:rsid w:val="00D83533"/>
    <w:rsid w:val="00D83602"/>
    <w:rsid w:val="00D844D3"/>
    <w:rsid w:val="00D84E11"/>
    <w:rsid w:val="00D85D17"/>
    <w:rsid w:val="00D8679E"/>
    <w:rsid w:val="00D87535"/>
    <w:rsid w:val="00D90956"/>
    <w:rsid w:val="00D912A1"/>
    <w:rsid w:val="00D955DA"/>
    <w:rsid w:val="00D95D82"/>
    <w:rsid w:val="00D9730B"/>
    <w:rsid w:val="00D97C76"/>
    <w:rsid w:val="00DA0348"/>
    <w:rsid w:val="00DA0DF0"/>
    <w:rsid w:val="00DA1D18"/>
    <w:rsid w:val="00DA33BD"/>
    <w:rsid w:val="00DA43EE"/>
    <w:rsid w:val="00DA4ABE"/>
    <w:rsid w:val="00DA4ADC"/>
    <w:rsid w:val="00DA4F54"/>
    <w:rsid w:val="00DA6ECD"/>
    <w:rsid w:val="00DA74F1"/>
    <w:rsid w:val="00DA7829"/>
    <w:rsid w:val="00DB1111"/>
    <w:rsid w:val="00DB2C65"/>
    <w:rsid w:val="00DB3941"/>
    <w:rsid w:val="00DB4648"/>
    <w:rsid w:val="00DB46D6"/>
    <w:rsid w:val="00DB7B75"/>
    <w:rsid w:val="00DC1C8C"/>
    <w:rsid w:val="00DC1CC4"/>
    <w:rsid w:val="00DC560A"/>
    <w:rsid w:val="00DC58E3"/>
    <w:rsid w:val="00DC5946"/>
    <w:rsid w:val="00DC6518"/>
    <w:rsid w:val="00DC6F53"/>
    <w:rsid w:val="00DC79DA"/>
    <w:rsid w:val="00DD0030"/>
    <w:rsid w:val="00DD0FDB"/>
    <w:rsid w:val="00DD182B"/>
    <w:rsid w:val="00DD29DE"/>
    <w:rsid w:val="00DD61F2"/>
    <w:rsid w:val="00DE03C8"/>
    <w:rsid w:val="00DE1B9D"/>
    <w:rsid w:val="00DE2024"/>
    <w:rsid w:val="00DE43AF"/>
    <w:rsid w:val="00DE470D"/>
    <w:rsid w:val="00DE4A70"/>
    <w:rsid w:val="00DE5F84"/>
    <w:rsid w:val="00DE6F39"/>
    <w:rsid w:val="00DF1475"/>
    <w:rsid w:val="00DF17C2"/>
    <w:rsid w:val="00DF3D53"/>
    <w:rsid w:val="00DF3D6B"/>
    <w:rsid w:val="00DF43C0"/>
    <w:rsid w:val="00DF480E"/>
    <w:rsid w:val="00DF53F4"/>
    <w:rsid w:val="00DF575C"/>
    <w:rsid w:val="00DF7CED"/>
    <w:rsid w:val="00E0031E"/>
    <w:rsid w:val="00E01347"/>
    <w:rsid w:val="00E024CF"/>
    <w:rsid w:val="00E04323"/>
    <w:rsid w:val="00E07226"/>
    <w:rsid w:val="00E075CB"/>
    <w:rsid w:val="00E11613"/>
    <w:rsid w:val="00E11C11"/>
    <w:rsid w:val="00E1261D"/>
    <w:rsid w:val="00E13DD9"/>
    <w:rsid w:val="00E14C46"/>
    <w:rsid w:val="00E15502"/>
    <w:rsid w:val="00E17840"/>
    <w:rsid w:val="00E21B56"/>
    <w:rsid w:val="00E227A5"/>
    <w:rsid w:val="00E2284C"/>
    <w:rsid w:val="00E24184"/>
    <w:rsid w:val="00E27161"/>
    <w:rsid w:val="00E27C29"/>
    <w:rsid w:val="00E3037C"/>
    <w:rsid w:val="00E32479"/>
    <w:rsid w:val="00E34352"/>
    <w:rsid w:val="00E34822"/>
    <w:rsid w:val="00E36F33"/>
    <w:rsid w:val="00E37398"/>
    <w:rsid w:val="00E37A4A"/>
    <w:rsid w:val="00E37E4A"/>
    <w:rsid w:val="00E41229"/>
    <w:rsid w:val="00E419B6"/>
    <w:rsid w:val="00E4226E"/>
    <w:rsid w:val="00E443CF"/>
    <w:rsid w:val="00E518FF"/>
    <w:rsid w:val="00E536FB"/>
    <w:rsid w:val="00E549C3"/>
    <w:rsid w:val="00E55705"/>
    <w:rsid w:val="00E6223C"/>
    <w:rsid w:val="00E622DA"/>
    <w:rsid w:val="00E6300C"/>
    <w:rsid w:val="00E64FDF"/>
    <w:rsid w:val="00E65B91"/>
    <w:rsid w:val="00E66993"/>
    <w:rsid w:val="00E66B46"/>
    <w:rsid w:val="00E6712C"/>
    <w:rsid w:val="00E7058B"/>
    <w:rsid w:val="00E7060C"/>
    <w:rsid w:val="00E70D11"/>
    <w:rsid w:val="00E72E49"/>
    <w:rsid w:val="00E734CF"/>
    <w:rsid w:val="00E751BE"/>
    <w:rsid w:val="00E75D5C"/>
    <w:rsid w:val="00E75F51"/>
    <w:rsid w:val="00E7754F"/>
    <w:rsid w:val="00E77A7C"/>
    <w:rsid w:val="00E77CBD"/>
    <w:rsid w:val="00E81C21"/>
    <w:rsid w:val="00E84624"/>
    <w:rsid w:val="00E8512D"/>
    <w:rsid w:val="00E85266"/>
    <w:rsid w:val="00E86956"/>
    <w:rsid w:val="00E90899"/>
    <w:rsid w:val="00E90D7E"/>
    <w:rsid w:val="00E91D0C"/>
    <w:rsid w:val="00E91F81"/>
    <w:rsid w:val="00E95DBE"/>
    <w:rsid w:val="00E9623B"/>
    <w:rsid w:val="00E963F7"/>
    <w:rsid w:val="00EA0FAF"/>
    <w:rsid w:val="00EA3EAA"/>
    <w:rsid w:val="00EA4FAA"/>
    <w:rsid w:val="00EA5B9B"/>
    <w:rsid w:val="00EA5CCB"/>
    <w:rsid w:val="00EA61AD"/>
    <w:rsid w:val="00EA7937"/>
    <w:rsid w:val="00EB08FC"/>
    <w:rsid w:val="00EB0A89"/>
    <w:rsid w:val="00EB1496"/>
    <w:rsid w:val="00EB1642"/>
    <w:rsid w:val="00EB1E53"/>
    <w:rsid w:val="00EB3023"/>
    <w:rsid w:val="00EB439D"/>
    <w:rsid w:val="00EB47A1"/>
    <w:rsid w:val="00EB47BE"/>
    <w:rsid w:val="00EB4BA4"/>
    <w:rsid w:val="00EC2B9F"/>
    <w:rsid w:val="00EC35A6"/>
    <w:rsid w:val="00EC38C1"/>
    <w:rsid w:val="00EC5BB6"/>
    <w:rsid w:val="00EC635C"/>
    <w:rsid w:val="00EC6923"/>
    <w:rsid w:val="00EC6C81"/>
    <w:rsid w:val="00ED2018"/>
    <w:rsid w:val="00ED219D"/>
    <w:rsid w:val="00ED2686"/>
    <w:rsid w:val="00ED4B71"/>
    <w:rsid w:val="00ED4D6C"/>
    <w:rsid w:val="00ED5672"/>
    <w:rsid w:val="00ED7DFE"/>
    <w:rsid w:val="00EE24EF"/>
    <w:rsid w:val="00EE2A2E"/>
    <w:rsid w:val="00EE381A"/>
    <w:rsid w:val="00EE6695"/>
    <w:rsid w:val="00EE6EB3"/>
    <w:rsid w:val="00EE7A82"/>
    <w:rsid w:val="00EE7EB0"/>
    <w:rsid w:val="00EF3859"/>
    <w:rsid w:val="00EF3DF4"/>
    <w:rsid w:val="00EF44AA"/>
    <w:rsid w:val="00EF5EB0"/>
    <w:rsid w:val="00EF7B20"/>
    <w:rsid w:val="00F000A8"/>
    <w:rsid w:val="00F02994"/>
    <w:rsid w:val="00F02F8E"/>
    <w:rsid w:val="00F05143"/>
    <w:rsid w:val="00F07EBB"/>
    <w:rsid w:val="00F10CA9"/>
    <w:rsid w:val="00F1172E"/>
    <w:rsid w:val="00F133E0"/>
    <w:rsid w:val="00F13E88"/>
    <w:rsid w:val="00F158F1"/>
    <w:rsid w:val="00F15DBF"/>
    <w:rsid w:val="00F179BE"/>
    <w:rsid w:val="00F217D4"/>
    <w:rsid w:val="00F21D1D"/>
    <w:rsid w:val="00F21D9E"/>
    <w:rsid w:val="00F237DB"/>
    <w:rsid w:val="00F26A25"/>
    <w:rsid w:val="00F27E21"/>
    <w:rsid w:val="00F353D6"/>
    <w:rsid w:val="00F3552F"/>
    <w:rsid w:val="00F35F8F"/>
    <w:rsid w:val="00F36772"/>
    <w:rsid w:val="00F369C3"/>
    <w:rsid w:val="00F36E72"/>
    <w:rsid w:val="00F407A5"/>
    <w:rsid w:val="00F42299"/>
    <w:rsid w:val="00F42865"/>
    <w:rsid w:val="00F434A6"/>
    <w:rsid w:val="00F45A97"/>
    <w:rsid w:val="00F50FE1"/>
    <w:rsid w:val="00F51429"/>
    <w:rsid w:val="00F53A2A"/>
    <w:rsid w:val="00F5682D"/>
    <w:rsid w:val="00F5797B"/>
    <w:rsid w:val="00F603FE"/>
    <w:rsid w:val="00F63D30"/>
    <w:rsid w:val="00F649F4"/>
    <w:rsid w:val="00F64C10"/>
    <w:rsid w:val="00F67315"/>
    <w:rsid w:val="00F67604"/>
    <w:rsid w:val="00F7300D"/>
    <w:rsid w:val="00F73814"/>
    <w:rsid w:val="00F738A9"/>
    <w:rsid w:val="00F73F06"/>
    <w:rsid w:val="00F740DE"/>
    <w:rsid w:val="00F744F4"/>
    <w:rsid w:val="00F7585D"/>
    <w:rsid w:val="00F7681F"/>
    <w:rsid w:val="00F771FF"/>
    <w:rsid w:val="00F8378D"/>
    <w:rsid w:val="00F83A1C"/>
    <w:rsid w:val="00F83A65"/>
    <w:rsid w:val="00F83A77"/>
    <w:rsid w:val="00F8497D"/>
    <w:rsid w:val="00F9093C"/>
    <w:rsid w:val="00F90B3E"/>
    <w:rsid w:val="00F90F4E"/>
    <w:rsid w:val="00F90FD5"/>
    <w:rsid w:val="00F92FF7"/>
    <w:rsid w:val="00F9347E"/>
    <w:rsid w:val="00F938A8"/>
    <w:rsid w:val="00F957BA"/>
    <w:rsid w:val="00F9643A"/>
    <w:rsid w:val="00FA0D82"/>
    <w:rsid w:val="00FA1B6D"/>
    <w:rsid w:val="00FA1C1A"/>
    <w:rsid w:val="00FA5293"/>
    <w:rsid w:val="00FA559C"/>
    <w:rsid w:val="00FA7AD8"/>
    <w:rsid w:val="00FB04C4"/>
    <w:rsid w:val="00FB19C0"/>
    <w:rsid w:val="00FB20C3"/>
    <w:rsid w:val="00FB2CF1"/>
    <w:rsid w:val="00FB34EB"/>
    <w:rsid w:val="00FB3A03"/>
    <w:rsid w:val="00FB504E"/>
    <w:rsid w:val="00FB5A23"/>
    <w:rsid w:val="00FB6ACB"/>
    <w:rsid w:val="00FB7C68"/>
    <w:rsid w:val="00FB7DD6"/>
    <w:rsid w:val="00FC0B1D"/>
    <w:rsid w:val="00FC1F7F"/>
    <w:rsid w:val="00FC2163"/>
    <w:rsid w:val="00FC338E"/>
    <w:rsid w:val="00FC4ED1"/>
    <w:rsid w:val="00FD3278"/>
    <w:rsid w:val="00FD5379"/>
    <w:rsid w:val="00FD6DE2"/>
    <w:rsid w:val="00FD7362"/>
    <w:rsid w:val="00FE0135"/>
    <w:rsid w:val="00FE25F5"/>
    <w:rsid w:val="00FE3070"/>
    <w:rsid w:val="00FE5205"/>
    <w:rsid w:val="00FE536C"/>
    <w:rsid w:val="00FE6957"/>
    <w:rsid w:val="00FE711B"/>
    <w:rsid w:val="00FF0B6A"/>
    <w:rsid w:val="00FF2487"/>
    <w:rsid w:val="00FF2F80"/>
    <w:rsid w:val="00FF38AE"/>
    <w:rsid w:val="00FF3E46"/>
    <w:rsid w:val="00FF55E1"/>
    <w:rsid w:val="00FF5C66"/>
    <w:rsid w:val="00FF70B4"/>
    <w:rsid w:val="00FF7254"/>
    <w:rsid w:val="013322E3"/>
    <w:rsid w:val="01E61D4B"/>
    <w:rsid w:val="02533D81"/>
    <w:rsid w:val="02BB5715"/>
    <w:rsid w:val="031313D0"/>
    <w:rsid w:val="037F258D"/>
    <w:rsid w:val="03B725CB"/>
    <w:rsid w:val="043E0C20"/>
    <w:rsid w:val="04C70A0D"/>
    <w:rsid w:val="04DF0681"/>
    <w:rsid w:val="05B733D1"/>
    <w:rsid w:val="064B18BE"/>
    <w:rsid w:val="066013D1"/>
    <w:rsid w:val="06EF6368"/>
    <w:rsid w:val="06FD0BBC"/>
    <w:rsid w:val="07AB4A08"/>
    <w:rsid w:val="08327FE2"/>
    <w:rsid w:val="08996BB5"/>
    <w:rsid w:val="08C4208A"/>
    <w:rsid w:val="0AC52763"/>
    <w:rsid w:val="0ADA1567"/>
    <w:rsid w:val="0B7360CF"/>
    <w:rsid w:val="0B906C1B"/>
    <w:rsid w:val="0BC81BB7"/>
    <w:rsid w:val="0C2D52E4"/>
    <w:rsid w:val="0C3F2ED7"/>
    <w:rsid w:val="0D862BD4"/>
    <w:rsid w:val="0DA14A9B"/>
    <w:rsid w:val="0FC716ED"/>
    <w:rsid w:val="101244FE"/>
    <w:rsid w:val="102B0817"/>
    <w:rsid w:val="11D77450"/>
    <w:rsid w:val="12B6701B"/>
    <w:rsid w:val="13712058"/>
    <w:rsid w:val="14190316"/>
    <w:rsid w:val="14C3238A"/>
    <w:rsid w:val="157509E1"/>
    <w:rsid w:val="15B239E3"/>
    <w:rsid w:val="16282CBD"/>
    <w:rsid w:val="1738500D"/>
    <w:rsid w:val="1755647A"/>
    <w:rsid w:val="17C451D2"/>
    <w:rsid w:val="18215FF9"/>
    <w:rsid w:val="18644860"/>
    <w:rsid w:val="1A257D52"/>
    <w:rsid w:val="1A450057"/>
    <w:rsid w:val="1A864C63"/>
    <w:rsid w:val="1A8C283C"/>
    <w:rsid w:val="1B815F6A"/>
    <w:rsid w:val="1C450470"/>
    <w:rsid w:val="1CDC17E3"/>
    <w:rsid w:val="1D9B4E35"/>
    <w:rsid w:val="1DCF45DA"/>
    <w:rsid w:val="1E1E5F20"/>
    <w:rsid w:val="1EEA2AAF"/>
    <w:rsid w:val="1F3A7CE1"/>
    <w:rsid w:val="1FDB416E"/>
    <w:rsid w:val="2167543D"/>
    <w:rsid w:val="216900A2"/>
    <w:rsid w:val="21AF39DE"/>
    <w:rsid w:val="225E0194"/>
    <w:rsid w:val="229A3CFE"/>
    <w:rsid w:val="22AD72A6"/>
    <w:rsid w:val="22D4597F"/>
    <w:rsid w:val="22F6642C"/>
    <w:rsid w:val="24AA6BD5"/>
    <w:rsid w:val="24C44D83"/>
    <w:rsid w:val="24ED4B72"/>
    <w:rsid w:val="255B4CC4"/>
    <w:rsid w:val="25FC55AD"/>
    <w:rsid w:val="262C6222"/>
    <w:rsid w:val="263E0F6F"/>
    <w:rsid w:val="28351CBE"/>
    <w:rsid w:val="293C0D57"/>
    <w:rsid w:val="2A361FAC"/>
    <w:rsid w:val="2A3A7044"/>
    <w:rsid w:val="2AFA6D75"/>
    <w:rsid w:val="2B5D7FEA"/>
    <w:rsid w:val="2C1514E8"/>
    <w:rsid w:val="2D103069"/>
    <w:rsid w:val="2F092FA4"/>
    <w:rsid w:val="31511664"/>
    <w:rsid w:val="31C57652"/>
    <w:rsid w:val="332313E7"/>
    <w:rsid w:val="337D0E32"/>
    <w:rsid w:val="33B770F5"/>
    <w:rsid w:val="340C635E"/>
    <w:rsid w:val="348870A1"/>
    <w:rsid w:val="35256172"/>
    <w:rsid w:val="355A1256"/>
    <w:rsid w:val="37607420"/>
    <w:rsid w:val="3777657B"/>
    <w:rsid w:val="3782160A"/>
    <w:rsid w:val="37B246EF"/>
    <w:rsid w:val="394F3EF6"/>
    <w:rsid w:val="397741CD"/>
    <w:rsid w:val="39796CD5"/>
    <w:rsid w:val="3AB141C3"/>
    <w:rsid w:val="3AB24F97"/>
    <w:rsid w:val="3D1502C5"/>
    <w:rsid w:val="3D203323"/>
    <w:rsid w:val="3D9C734F"/>
    <w:rsid w:val="3DCF4451"/>
    <w:rsid w:val="3E133399"/>
    <w:rsid w:val="3E662A88"/>
    <w:rsid w:val="3F81364C"/>
    <w:rsid w:val="406A71DF"/>
    <w:rsid w:val="41025361"/>
    <w:rsid w:val="423A3C1A"/>
    <w:rsid w:val="42C53B70"/>
    <w:rsid w:val="42E6407F"/>
    <w:rsid w:val="4307008D"/>
    <w:rsid w:val="43912C79"/>
    <w:rsid w:val="43A5266A"/>
    <w:rsid w:val="44417D4A"/>
    <w:rsid w:val="44902924"/>
    <w:rsid w:val="45634096"/>
    <w:rsid w:val="45813488"/>
    <w:rsid w:val="459C2720"/>
    <w:rsid w:val="45A42C34"/>
    <w:rsid w:val="45B268A1"/>
    <w:rsid w:val="460E4410"/>
    <w:rsid w:val="470F31B3"/>
    <w:rsid w:val="475E64AA"/>
    <w:rsid w:val="47C73EFF"/>
    <w:rsid w:val="47E16AF4"/>
    <w:rsid w:val="484C115B"/>
    <w:rsid w:val="48A37D8E"/>
    <w:rsid w:val="48CF2911"/>
    <w:rsid w:val="48DA3114"/>
    <w:rsid w:val="490910AD"/>
    <w:rsid w:val="4940628B"/>
    <w:rsid w:val="49406DA6"/>
    <w:rsid w:val="495B1BB8"/>
    <w:rsid w:val="49D85DA5"/>
    <w:rsid w:val="49F30E95"/>
    <w:rsid w:val="4A6F1963"/>
    <w:rsid w:val="4AE5491B"/>
    <w:rsid w:val="4B207DBE"/>
    <w:rsid w:val="4B441F14"/>
    <w:rsid w:val="4BDB28BD"/>
    <w:rsid w:val="4C0D3BFA"/>
    <w:rsid w:val="4C7B7F7C"/>
    <w:rsid w:val="4CCE53FD"/>
    <w:rsid w:val="4CD03729"/>
    <w:rsid w:val="4D3970FC"/>
    <w:rsid w:val="4D9146BE"/>
    <w:rsid w:val="4DCF4C81"/>
    <w:rsid w:val="4EB76DCD"/>
    <w:rsid w:val="4F7414AC"/>
    <w:rsid w:val="51057AF6"/>
    <w:rsid w:val="510B5120"/>
    <w:rsid w:val="520C4476"/>
    <w:rsid w:val="52CE1A10"/>
    <w:rsid w:val="538D218C"/>
    <w:rsid w:val="53934B99"/>
    <w:rsid w:val="544E2D41"/>
    <w:rsid w:val="5505543F"/>
    <w:rsid w:val="55CA7C72"/>
    <w:rsid w:val="570C23D8"/>
    <w:rsid w:val="57584E2F"/>
    <w:rsid w:val="57EB2EDC"/>
    <w:rsid w:val="57F409B0"/>
    <w:rsid w:val="5825523D"/>
    <w:rsid w:val="593F4FB5"/>
    <w:rsid w:val="59466CBB"/>
    <w:rsid w:val="5A4079FA"/>
    <w:rsid w:val="5ADC3F65"/>
    <w:rsid w:val="5B9B55BC"/>
    <w:rsid w:val="5BE95050"/>
    <w:rsid w:val="5C2F122B"/>
    <w:rsid w:val="5C2F4F39"/>
    <w:rsid w:val="5CA26373"/>
    <w:rsid w:val="5CFE07B7"/>
    <w:rsid w:val="5DE9256A"/>
    <w:rsid w:val="5DF159AB"/>
    <w:rsid w:val="5E525F7B"/>
    <w:rsid w:val="5F1D0362"/>
    <w:rsid w:val="5F596A86"/>
    <w:rsid w:val="5F6A1BE7"/>
    <w:rsid w:val="5F9C50A1"/>
    <w:rsid w:val="60F43486"/>
    <w:rsid w:val="61EF28E6"/>
    <w:rsid w:val="621032D3"/>
    <w:rsid w:val="62D925DF"/>
    <w:rsid w:val="64235F88"/>
    <w:rsid w:val="64834545"/>
    <w:rsid w:val="64BD469C"/>
    <w:rsid w:val="65472C9C"/>
    <w:rsid w:val="6663449C"/>
    <w:rsid w:val="66E57356"/>
    <w:rsid w:val="674B1102"/>
    <w:rsid w:val="6773487D"/>
    <w:rsid w:val="67ED4E53"/>
    <w:rsid w:val="68D4623C"/>
    <w:rsid w:val="6A4563EC"/>
    <w:rsid w:val="6ABD1FCF"/>
    <w:rsid w:val="6ABE7E1B"/>
    <w:rsid w:val="6B23155E"/>
    <w:rsid w:val="6B3F2243"/>
    <w:rsid w:val="6BF40209"/>
    <w:rsid w:val="6C1D25C6"/>
    <w:rsid w:val="6C686B68"/>
    <w:rsid w:val="6D212617"/>
    <w:rsid w:val="6E3C3D10"/>
    <w:rsid w:val="6E8B4BD5"/>
    <w:rsid w:val="70625AA8"/>
    <w:rsid w:val="71863AC0"/>
    <w:rsid w:val="71A91079"/>
    <w:rsid w:val="741C3A8D"/>
    <w:rsid w:val="74505901"/>
    <w:rsid w:val="75407506"/>
    <w:rsid w:val="761B52A1"/>
    <w:rsid w:val="76CA4A65"/>
    <w:rsid w:val="770D3380"/>
    <w:rsid w:val="774632CA"/>
    <w:rsid w:val="78BE084D"/>
    <w:rsid w:val="79D53B66"/>
    <w:rsid w:val="7C0940C7"/>
    <w:rsid w:val="7CC44066"/>
    <w:rsid w:val="7D1B7A3B"/>
    <w:rsid w:val="7E8A5C49"/>
    <w:rsid w:val="7ECC0C26"/>
    <w:rsid w:val="7F890235"/>
    <w:rsid w:val="7F945CA8"/>
    <w:rsid w:val="7FDE0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59B8227F"/>
  <w15:docId w15:val="{F1F86FA3-34C1-403A-8E61-1242E130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0"/>
    <w:next w:val="a"/>
    <w:link w:val="10"/>
    <w:qFormat/>
    <w:locked/>
    <w:pPr>
      <w:widowControl/>
      <w:numPr>
        <w:numId w:val="1"/>
      </w:numPr>
      <w:spacing w:before="100" w:beforeAutospacing="1" w:after="100" w:afterAutospacing="1" w:line="440" w:lineRule="atLeast"/>
      <w:jc w:val="left"/>
      <w:outlineLvl w:val="0"/>
    </w:pPr>
    <w:rPr>
      <w:rFonts w:eastAsia="华文细黑"/>
      <w:b/>
      <w:color w:val="333333"/>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nhideWhenUsed/>
    <w:qFormat/>
    <w:rPr>
      <w:sz w:val="24"/>
      <w:szCs w:val="24"/>
    </w:rPr>
  </w:style>
  <w:style w:type="paragraph" w:styleId="a4">
    <w:name w:val="annotation text"/>
    <w:basedOn w:val="a"/>
    <w:link w:val="a5"/>
    <w:uiPriority w:val="99"/>
    <w:unhideWhenUsed/>
    <w:qFormat/>
    <w:pPr>
      <w:jc w:val="left"/>
    </w:pPr>
  </w:style>
  <w:style w:type="paragraph" w:styleId="a6">
    <w:name w:val="Body Text"/>
    <w:basedOn w:val="a"/>
    <w:uiPriority w:val="1"/>
    <w:qFormat/>
    <w:pPr>
      <w:autoSpaceDE w:val="0"/>
      <w:autoSpaceDN w:val="0"/>
      <w:spacing w:before="161"/>
      <w:ind w:left="260"/>
      <w:jc w:val="left"/>
    </w:pPr>
    <w:rPr>
      <w:rFonts w:ascii="宋体" w:hAnsi="宋体" w:hint="eastAsia"/>
      <w:kern w:val="0"/>
      <w:sz w:val="24"/>
    </w:rPr>
  </w:style>
  <w:style w:type="paragraph" w:styleId="a7">
    <w:name w:val="Body Text Indent"/>
    <w:basedOn w:val="a"/>
    <w:link w:val="a8"/>
    <w:qFormat/>
    <w:pPr>
      <w:snapToGrid w:val="0"/>
      <w:spacing w:line="360" w:lineRule="auto"/>
      <w:ind w:firstLine="570"/>
    </w:pPr>
    <w:rPr>
      <w:rFonts w:ascii="黑体" w:eastAsia="黑体" w:hAnsi="Tahoma" w:cs="Tahoma"/>
      <w:sz w:val="24"/>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Title"/>
    <w:basedOn w:val="a"/>
    <w:next w:val="a"/>
    <w:link w:val="af2"/>
    <w:qFormat/>
    <w:locked/>
    <w:pPr>
      <w:spacing w:before="240" w:after="60"/>
      <w:jc w:val="center"/>
      <w:outlineLvl w:val="0"/>
    </w:pPr>
    <w:rPr>
      <w:rFonts w:ascii="Cambria" w:hAnsi="Cambria"/>
      <w:b/>
      <w:bCs/>
      <w:sz w:val="32"/>
      <w:szCs w:val="32"/>
    </w:rPr>
  </w:style>
  <w:style w:type="paragraph" w:styleId="af3">
    <w:name w:val="annotation subject"/>
    <w:basedOn w:val="a4"/>
    <w:next w:val="a4"/>
    <w:link w:val="af4"/>
    <w:uiPriority w:val="99"/>
    <w:semiHidden/>
    <w:unhideWhenUsed/>
    <w:qFormat/>
    <w:rPr>
      <w:b/>
      <w:bCs/>
    </w:rPr>
  </w:style>
  <w:style w:type="table" w:styleId="af5">
    <w:name w:val="Table Grid"/>
    <w:basedOn w:val="a2"/>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qFormat/>
    <w:rPr>
      <w:color w:val="0000FF"/>
      <w:u w:val="single"/>
    </w:rPr>
  </w:style>
  <w:style w:type="character" w:styleId="af7">
    <w:name w:val="annotation reference"/>
    <w:basedOn w:val="a1"/>
    <w:uiPriority w:val="99"/>
    <w:unhideWhenUsed/>
    <w:qFormat/>
    <w:rPr>
      <w:sz w:val="21"/>
      <w:szCs w:val="21"/>
    </w:rPr>
  </w:style>
  <w:style w:type="character" w:customStyle="1" w:styleId="af0">
    <w:name w:val="页眉 字符"/>
    <w:link w:val="af"/>
    <w:uiPriority w:val="99"/>
    <w:qFormat/>
    <w:rPr>
      <w:rFonts w:ascii="Times New Roman" w:hAnsi="Times New Roman"/>
      <w:sz w:val="18"/>
      <w:szCs w:val="18"/>
    </w:rPr>
  </w:style>
  <w:style w:type="character" w:customStyle="1" w:styleId="ae">
    <w:name w:val="页脚 字符"/>
    <w:link w:val="ad"/>
    <w:uiPriority w:val="99"/>
    <w:qFormat/>
    <w:rPr>
      <w:rFonts w:ascii="Times New Roman" w:hAnsi="Times New Roman"/>
      <w:sz w:val="18"/>
      <w:szCs w:val="18"/>
    </w:rPr>
  </w:style>
  <w:style w:type="character" w:customStyle="1" w:styleId="af2">
    <w:name w:val="标题 字符"/>
    <w:link w:val="af1"/>
    <w:qFormat/>
    <w:rPr>
      <w:rFonts w:ascii="Cambria" w:hAnsi="Cambria" w:cs="Times New Roman"/>
      <w:b/>
      <w:bCs/>
      <w:kern w:val="2"/>
      <w:sz w:val="32"/>
      <w:szCs w:val="32"/>
    </w:rPr>
  </w:style>
  <w:style w:type="character" w:customStyle="1" w:styleId="aa">
    <w:name w:val="日期 字符"/>
    <w:basedOn w:val="a1"/>
    <w:link w:val="a9"/>
    <w:uiPriority w:val="99"/>
    <w:semiHidden/>
    <w:qFormat/>
    <w:rPr>
      <w:rFonts w:ascii="Times New Roman" w:hAnsi="Times New Roman"/>
      <w:kern w:val="2"/>
      <w:sz w:val="21"/>
    </w:rPr>
  </w:style>
  <w:style w:type="character" w:customStyle="1" w:styleId="ac">
    <w:name w:val="批注框文本 字符"/>
    <w:basedOn w:val="a1"/>
    <w:link w:val="ab"/>
    <w:uiPriority w:val="99"/>
    <w:semiHidden/>
    <w:qFormat/>
    <w:rPr>
      <w:rFonts w:ascii="Times New Roman" w:hAnsi="Times New Roman"/>
      <w:kern w:val="2"/>
      <w:sz w:val="18"/>
      <w:szCs w:val="18"/>
    </w:rPr>
  </w:style>
  <w:style w:type="character" w:customStyle="1" w:styleId="a5">
    <w:name w:val="批注文字 字符"/>
    <w:basedOn w:val="a1"/>
    <w:link w:val="a4"/>
    <w:uiPriority w:val="99"/>
    <w:qFormat/>
    <w:rPr>
      <w:rFonts w:ascii="Times New Roman" w:hAnsi="Times New Roman"/>
      <w:kern w:val="2"/>
      <w:sz w:val="21"/>
    </w:rPr>
  </w:style>
  <w:style w:type="character" w:customStyle="1" w:styleId="af4">
    <w:name w:val="批注主题 字符"/>
    <w:basedOn w:val="a5"/>
    <w:link w:val="af3"/>
    <w:uiPriority w:val="99"/>
    <w:semiHidden/>
    <w:qFormat/>
    <w:rPr>
      <w:rFonts w:ascii="Times New Roman" w:hAnsi="Times New Roman"/>
      <w:b/>
      <w:bCs/>
      <w:kern w:val="2"/>
      <w:sz w:val="21"/>
    </w:rPr>
  </w:style>
  <w:style w:type="paragraph" w:styleId="af8">
    <w:name w:val="List Paragraph"/>
    <w:basedOn w:val="a"/>
    <w:uiPriority w:val="34"/>
    <w:qFormat/>
    <w:pPr>
      <w:ind w:firstLineChars="200" w:firstLine="420"/>
    </w:pPr>
  </w:style>
  <w:style w:type="paragraph" w:customStyle="1" w:styleId="11">
    <w:name w:val="修订1"/>
    <w:hidden/>
    <w:uiPriority w:val="99"/>
    <w:semiHidden/>
    <w:qFormat/>
    <w:rPr>
      <w:kern w:val="2"/>
      <w:sz w:val="21"/>
    </w:rPr>
  </w:style>
  <w:style w:type="character" w:customStyle="1" w:styleId="10">
    <w:name w:val="标题 1 字符"/>
    <w:basedOn w:val="a1"/>
    <w:link w:val="1"/>
    <w:qFormat/>
    <w:rPr>
      <w:rFonts w:ascii="Times New Roman" w:eastAsia="华文细黑" w:hAnsi="Times New Roman"/>
      <w:b/>
      <w:color w:val="333333"/>
      <w:sz w:val="24"/>
      <w:szCs w:val="24"/>
    </w:rPr>
  </w:style>
  <w:style w:type="character" w:customStyle="1" w:styleId="a8">
    <w:name w:val="正文文本缩进 字符"/>
    <w:basedOn w:val="a1"/>
    <w:link w:val="a7"/>
    <w:qFormat/>
    <w:rPr>
      <w:rFonts w:ascii="黑体" w:eastAsia="黑体" w:hAnsi="Tahoma" w:cs="Tahoma"/>
      <w:kern w:val="2"/>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ableParagraph">
    <w:name w:val="Table Paragraph"/>
    <w:basedOn w:val="a"/>
    <w:qFormat/>
    <w:pPr>
      <w:autoSpaceDE w:val="0"/>
      <w:autoSpaceDN w:val="0"/>
      <w:jc w:val="left"/>
    </w:pPr>
    <w:rPr>
      <w:rFonts w:ascii="宋体" w:hAnsi="宋体" w:hint="eastAsia"/>
      <w:kern w:val="0"/>
      <w:sz w:val="22"/>
      <w:szCs w:val="22"/>
    </w:rPr>
  </w:style>
  <w:style w:type="paragraph" w:customStyle="1" w:styleId="12">
    <w:name w:val="列出段落1"/>
    <w:basedOn w:val="a"/>
    <w:qFormat/>
    <w:pPr>
      <w:autoSpaceDE w:val="0"/>
      <w:autoSpaceDN w:val="0"/>
      <w:spacing w:before="2"/>
      <w:ind w:left="1341" w:hanging="602"/>
      <w:jc w:val="left"/>
    </w:pPr>
    <w:rPr>
      <w:rFonts w:ascii="宋体" w:hAnsi="宋体" w:hint="eastAsia"/>
      <w:kern w:val="0"/>
      <w:sz w:val="22"/>
      <w:szCs w:val="22"/>
    </w:rPr>
  </w:style>
  <w:style w:type="paragraph" w:styleId="af9">
    <w:name w:val="Revision"/>
    <w:hidden/>
    <w:uiPriority w:val="99"/>
    <w:semiHidden/>
    <w:rsid w:val="00DF57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99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F3C6B-1A8F-479A-A0D2-0A55FE94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3408</Words>
  <Characters>453</Characters>
  <Application>Microsoft Office Word</Application>
  <DocSecurity>0</DocSecurity>
  <Lines>3</Lines>
  <Paragraphs>7</Paragraphs>
  <ScaleCrop>false</ScaleCrop>
  <Company>China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邓 金银</cp:lastModifiedBy>
  <cp:revision>9</cp:revision>
  <cp:lastPrinted>2019-09-16T06:31:00Z</cp:lastPrinted>
  <dcterms:created xsi:type="dcterms:W3CDTF">2022-11-10T06:50:00Z</dcterms:created>
  <dcterms:modified xsi:type="dcterms:W3CDTF">2022-11-21T09:15:00Z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35A79790472B4DE6B79E4B3FEED28C2A</vt:lpwstr>
  </property>
</Properties>
</file>