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97A3" w14:textId="32807323" w:rsidR="00F52C7A" w:rsidRDefault="00E564D7">
      <w:pPr>
        <w:spacing w:line="360" w:lineRule="auto"/>
        <w:jc w:val="center"/>
        <w:rPr>
          <w:rFonts w:eastAsiaTheme="minorEastAsia"/>
          <w:kern w:val="0"/>
          <w:sz w:val="24"/>
        </w:rPr>
      </w:pPr>
      <w:r>
        <w:rPr>
          <w:rFonts w:eastAsiaTheme="minorEastAsia"/>
          <w:kern w:val="0"/>
          <w:sz w:val="24"/>
        </w:rPr>
        <w:t>证券代码：</w:t>
      </w:r>
      <w:r>
        <w:rPr>
          <w:rFonts w:eastAsiaTheme="minorEastAsia"/>
          <w:kern w:val="0"/>
          <w:sz w:val="24"/>
        </w:rPr>
        <w:t xml:space="preserve">002785         </w:t>
      </w:r>
      <w:r>
        <w:rPr>
          <w:rFonts w:eastAsiaTheme="minorEastAsia"/>
          <w:kern w:val="0"/>
          <w:sz w:val="24"/>
        </w:rPr>
        <w:t>证券简称：万里石</w:t>
      </w:r>
      <w:r>
        <w:rPr>
          <w:rFonts w:eastAsiaTheme="minorEastAsia" w:hint="eastAsia"/>
          <w:kern w:val="0"/>
          <w:sz w:val="24"/>
        </w:rPr>
        <w:t xml:space="preserve">         </w:t>
      </w:r>
      <w:r>
        <w:rPr>
          <w:rFonts w:eastAsiaTheme="minorEastAsia"/>
          <w:kern w:val="0"/>
          <w:sz w:val="24"/>
        </w:rPr>
        <w:t>公告编号：</w:t>
      </w:r>
      <w:r>
        <w:rPr>
          <w:rFonts w:eastAsiaTheme="minorEastAsia"/>
          <w:kern w:val="0"/>
          <w:sz w:val="24"/>
        </w:rPr>
        <w:t>20</w:t>
      </w:r>
      <w:r>
        <w:rPr>
          <w:rFonts w:eastAsiaTheme="minorEastAsia" w:hint="eastAsia"/>
          <w:kern w:val="0"/>
          <w:sz w:val="24"/>
        </w:rPr>
        <w:t>2</w:t>
      </w:r>
      <w:r>
        <w:rPr>
          <w:rFonts w:eastAsiaTheme="minorEastAsia"/>
          <w:kern w:val="0"/>
          <w:sz w:val="24"/>
        </w:rPr>
        <w:t>2-</w:t>
      </w:r>
      <w:r w:rsidR="00D24747">
        <w:rPr>
          <w:rFonts w:eastAsiaTheme="minorEastAsia"/>
          <w:kern w:val="0"/>
          <w:sz w:val="24"/>
        </w:rPr>
        <w:t>102</w:t>
      </w:r>
    </w:p>
    <w:p w14:paraId="17861C10" w14:textId="77777777" w:rsidR="00F52C7A" w:rsidRDefault="00E564D7">
      <w:pPr>
        <w:spacing w:beforeLines="50" w:before="156" w:line="360" w:lineRule="auto"/>
        <w:jc w:val="center"/>
        <w:rPr>
          <w:rFonts w:eastAsiaTheme="minorEastAsia"/>
          <w:kern w:val="0"/>
          <w:sz w:val="36"/>
          <w:szCs w:val="36"/>
        </w:rPr>
      </w:pPr>
      <w:r>
        <w:rPr>
          <w:rFonts w:eastAsiaTheme="minorEastAsia"/>
          <w:kern w:val="0"/>
          <w:sz w:val="36"/>
          <w:szCs w:val="36"/>
        </w:rPr>
        <w:t>厦门万里石股份有限公司</w:t>
      </w:r>
    </w:p>
    <w:p w14:paraId="0DBA889E" w14:textId="7C96A09F" w:rsidR="00F52C7A" w:rsidRDefault="00E564D7">
      <w:pPr>
        <w:spacing w:afterLines="50" w:after="156" w:line="360" w:lineRule="auto"/>
        <w:jc w:val="center"/>
        <w:rPr>
          <w:rFonts w:eastAsiaTheme="minorEastAsia"/>
          <w:kern w:val="0"/>
          <w:sz w:val="36"/>
          <w:szCs w:val="36"/>
        </w:rPr>
      </w:pPr>
      <w:r>
        <w:rPr>
          <w:rFonts w:eastAsiaTheme="minorEastAsia" w:hint="eastAsia"/>
          <w:kern w:val="0"/>
          <w:sz w:val="36"/>
          <w:szCs w:val="36"/>
        </w:rPr>
        <w:t>关于董事</w:t>
      </w:r>
      <w:r>
        <w:rPr>
          <w:rFonts w:eastAsiaTheme="minorEastAsia"/>
          <w:kern w:val="0"/>
          <w:sz w:val="36"/>
          <w:szCs w:val="36"/>
        </w:rPr>
        <w:t>兼</w:t>
      </w:r>
      <w:r>
        <w:rPr>
          <w:rFonts w:eastAsiaTheme="minorEastAsia" w:hint="eastAsia"/>
          <w:kern w:val="0"/>
          <w:sz w:val="36"/>
          <w:szCs w:val="36"/>
        </w:rPr>
        <w:t>高级管理人员减持计划</w:t>
      </w:r>
      <w:r w:rsidR="00173B9C">
        <w:rPr>
          <w:rFonts w:eastAsiaTheme="minorEastAsia" w:hint="eastAsia"/>
          <w:kern w:val="0"/>
          <w:sz w:val="36"/>
          <w:szCs w:val="36"/>
        </w:rPr>
        <w:t>期限届满</w:t>
      </w:r>
      <w:r>
        <w:rPr>
          <w:rFonts w:eastAsiaTheme="minorEastAsia"/>
          <w:kern w:val="0"/>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52C7A" w14:paraId="391ADB73" w14:textId="77777777">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4817C5A7" w14:textId="77777777" w:rsidR="00F52C7A" w:rsidRDefault="00E564D7">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邹鹏先生保证向本公司提供的信息内容真实、准确、完整，没有虚假记载、误导性陈述或重大遗漏。</w:t>
            </w:r>
          </w:p>
          <w:p w14:paraId="5306709B" w14:textId="77777777" w:rsidR="00F52C7A" w:rsidRDefault="00E564D7">
            <w:pPr>
              <w:autoSpaceDE w:val="0"/>
              <w:autoSpaceDN w:val="0"/>
              <w:adjustRightInd w:val="0"/>
              <w:spacing w:line="360" w:lineRule="auto"/>
              <w:ind w:firstLineChars="200" w:firstLine="480"/>
              <w:rPr>
                <w:rFonts w:eastAsiaTheme="minorEastAsia"/>
                <w:sz w:val="24"/>
              </w:rPr>
            </w:pPr>
            <w:r>
              <w:rPr>
                <w:rFonts w:eastAsiaTheme="minorEastAsia" w:hint="eastAsia"/>
                <w:kern w:val="0"/>
                <w:sz w:val="24"/>
              </w:rPr>
              <w:t>本公司及董事会全体成员保证公告内容与信息披露义务人提供的信息一致。</w:t>
            </w:r>
          </w:p>
        </w:tc>
      </w:tr>
    </w:tbl>
    <w:p w14:paraId="5661AF41" w14:textId="6F694BF0" w:rsidR="00F52C7A" w:rsidRDefault="00E564D7">
      <w:pPr>
        <w:spacing w:beforeLines="50" w:before="156" w:line="360" w:lineRule="auto"/>
        <w:ind w:firstLineChars="200" w:firstLine="480"/>
        <w:rPr>
          <w:rFonts w:asciiTheme="minorEastAsia" w:eastAsiaTheme="minorEastAsia" w:hAnsiTheme="minorEastAsia"/>
          <w:sz w:val="24"/>
          <w:szCs w:val="23"/>
        </w:rPr>
      </w:pPr>
      <w:r>
        <w:rPr>
          <w:rFonts w:eastAsiaTheme="minorEastAsia" w:hint="eastAsia"/>
          <w:sz w:val="24"/>
          <w:szCs w:val="23"/>
        </w:rPr>
        <w:t>厦门万里石股份有限公司（以下简称“公司”）于</w:t>
      </w:r>
      <w:r w:rsidR="00351E01" w:rsidRPr="00351E01">
        <w:rPr>
          <w:rFonts w:eastAsiaTheme="minorEastAsia" w:hint="eastAsia"/>
          <w:sz w:val="24"/>
          <w:szCs w:val="23"/>
        </w:rPr>
        <w:t>2022</w:t>
      </w:r>
      <w:r w:rsidR="00351E01" w:rsidRPr="00351E01">
        <w:rPr>
          <w:rFonts w:eastAsiaTheme="minorEastAsia" w:hint="eastAsia"/>
          <w:sz w:val="24"/>
          <w:szCs w:val="23"/>
        </w:rPr>
        <w:t>年</w:t>
      </w:r>
      <w:r w:rsidR="00351E01" w:rsidRPr="00351E01">
        <w:rPr>
          <w:rFonts w:eastAsiaTheme="minorEastAsia" w:hint="eastAsia"/>
          <w:sz w:val="24"/>
          <w:szCs w:val="23"/>
        </w:rPr>
        <w:t>4</w:t>
      </w:r>
      <w:r w:rsidR="00351E01" w:rsidRPr="00351E01">
        <w:rPr>
          <w:rFonts w:eastAsiaTheme="minorEastAsia" w:hint="eastAsia"/>
          <w:sz w:val="24"/>
          <w:szCs w:val="23"/>
        </w:rPr>
        <w:t>月</w:t>
      </w:r>
      <w:r w:rsidR="00351E01" w:rsidRPr="00351E01">
        <w:rPr>
          <w:rFonts w:eastAsiaTheme="minorEastAsia" w:hint="eastAsia"/>
          <w:sz w:val="24"/>
          <w:szCs w:val="23"/>
        </w:rPr>
        <w:t>29</w:t>
      </w:r>
      <w:r w:rsidR="00351E01" w:rsidRPr="00351E01">
        <w:rPr>
          <w:rFonts w:eastAsiaTheme="minorEastAsia" w:hint="eastAsia"/>
          <w:sz w:val="24"/>
          <w:szCs w:val="23"/>
        </w:rPr>
        <w:t>日披露了《关于董事兼高级管理人员减持股份的预披露公告》（公告编号：</w:t>
      </w:r>
      <w:r w:rsidR="00351E01" w:rsidRPr="00351E01">
        <w:rPr>
          <w:rFonts w:eastAsiaTheme="minorEastAsia" w:hint="eastAsia"/>
          <w:sz w:val="24"/>
          <w:szCs w:val="23"/>
        </w:rPr>
        <w:t>2022-045</w:t>
      </w:r>
      <w:r w:rsidR="00351E01" w:rsidRPr="00351E01">
        <w:rPr>
          <w:rFonts w:eastAsiaTheme="minorEastAsia" w:hint="eastAsia"/>
          <w:sz w:val="24"/>
          <w:szCs w:val="23"/>
        </w:rPr>
        <w:t>），公司副董事长、高管邹鹏先生计划在公告披露之日起</w:t>
      </w:r>
      <w:r w:rsidR="00351E01" w:rsidRPr="00351E01">
        <w:rPr>
          <w:rFonts w:eastAsiaTheme="minorEastAsia" w:hint="eastAsia"/>
          <w:sz w:val="24"/>
          <w:szCs w:val="23"/>
        </w:rPr>
        <w:t>15</w:t>
      </w:r>
      <w:r w:rsidR="00351E01" w:rsidRPr="00351E01">
        <w:rPr>
          <w:rFonts w:eastAsiaTheme="minorEastAsia" w:hint="eastAsia"/>
          <w:sz w:val="24"/>
          <w:szCs w:val="23"/>
        </w:rPr>
        <w:t>个交易日后至</w:t>
      </w:r>
      <w:r w:rsidR="00351E01" w:rsidRPr="00351E01">
        <w:rPr>
          <w:rFonts w:eastAsiaTheme="minorEastAsia" w:hint="eastAsia"/>
          <w:sz w:val="24"/>
          <w:szCs w:val="23"/>
        </w:rPr>
        <w:t>2022</w:t>
      </w:r>
      <w:r w:rsidR="00351E01" w:rsidRPr="00351E01">
        <w:rPr>
          <w:rFonts w:eastAsiaTheme="minorEastAsia" w:hint="eastAsia"/>
          <w:sz w:val="24"/>
          <w:szCs w:val="23"/>
        </w:rPr>
        <w:t>年</w:t>
      </w:r>
      <w:r w:rsidR="00351E01" w:rsidRPr="00351E01">
        <w:rPr>
          <w:rFonts w:eastAsiaTheme="minorEastAsia" w:hint="eastAsia"/>
          <w:sz w:val="24"/>
          <w:szCs w:val="23"/>
        </w:rPr>
        <w:t>11</w:t>
      </w:r>
      <w:r w:rsidR="00351E01" w:rsidRPr="00351E01">
        <w:rPr>
          <w:rFonts w:eastAsiaTheme="minorEastAsia" w:hint="eastAsia"/>
          <w:sz w:val="24"/>
          <w:szCs w:val="23"/>
        </w:rPr>
        <w:t>月</w:t>
      </w:r>
      <w:r w:rsidR="00351E01" w:rsidRPr="00351E01">
        <w:rPr>
          <w:rFonts w:eastAsiaTheme="minorEastAsia" w:hint="eastAsia"/>
          <w:sz w:val="24"/>
          <w:szCs w:val="23"/>
        </w:rPr>
        <w:t>18</w:t>
      </w:r>
      <w:r w:rsidR="00351E01" w:rsidRPr="00351E01">
        <w:rPr>
          <w:rFonts w:eastAsiaTheme="minorEastAsia" w:hint="eastAsia"/>
          <w:sz w:val="24"/>
          <w:szCs w:val="23"/>
        </w:rPr>
        <w:t>日（窗口期不减持），通过证券交易所集中竞价方式、大宗交易减持公司股份合计不超过</w:t>
      </w:r>
      <w:r w:rsidR="00351E01" w:rsidRPr="00351E01">
        <w:rPr>
          <w:rFonts w:eastAsiaTheme="minorEastAsia" w:hint="eastAsia"/>
          <w:sz w:val="24"/>
          <w:szCs w:val="23"/>
        </w:rPr>
        <w:t>2,900,000</w:t>
      </w:r>
      <w:r w:rsidR="00351E01" w:rsidRPr="00351E01">
        <w:rPr>
          <w:rFonts w:eastAsiaTheme="minorEastAsia" w:hint="eastAsia"/>
          <w:sz w:val="24"/>
          <w:szCs w:val="23"/>
        </w:rPr>
        <w:t>股，占公司总股本的</w:t>
      </w:r>
      <w:r w:rsidR="00351E01" w:rsidRPr="00351E01">
        <w:rPr>
          <w:rFonts w:eastAsiaTheme="minorEastAsia" w:hint="eastAsia"/>
          <w:sz w:val="24"/>
          <w:szCs w:val="23"/>
        </w:rPr>
        <w:t>1.45%</w:t>
      </w:r>
      <w:r>
        <w:rPr>
          <w:rFonts w:asciiTheme="minorEastAsia" w:eastAsiaTheme="minorEastAsia" w:hAnsiTheme="minorEastAsia" w:hint="eastAsia"/>
          <w:sz w:val="24"/>
          <w:szCs w:val="23"/>
        </w:rPr>
        <w:t>。202</w:t>
      </w:r>
      <w:r w:rsidR="00351E01">
        <w:rPr>
          <w:rFonts w:asciiTheme="minorEastAsia" w:eastAsiaTheme="minorEastAsia" w:hAnsiTheme="minorEastAsia"/>
          <w:sz w:val="24"/>
          <w:szCs w:val="23"/>
        </w:rPr>
        <w:t>2</w:t>
      </w:r>
      <w:r>
        <w:rPr>
          <w:rFonts w:asciiTheme="minorEastAsia" w:eastAsiaTheme="minorEastAsia" w:hAnsiTheme="minorEastAsia" w:hint="eastAsia"/>
          <w:sz w:val="24"/>
          <w:szCs w:val="23"/>
        </w:rPr>
        <w:t>年</w:t>
      </w:r>
      <w:r w:rsidR="00351E01">
        <w:rPr>
          <w:rFonts w:asciiTheme="minorEastAsia" w:eastAsiaTheme="minorEastAsia" w:hAnsiTheme="minorEastAsia"/>
          <w:sz w:val="24"/>
          <w:szCs w:val="23"/>
        </w:rPr>
        <w:t>8</w:t>
      </w:r>
      <w:r>
        <w:rPr>
          <w:rFonts w:asciiTheme="minorEastAsia" w:eastAsiaTheme="minorEastAsia" w:hAnsiTheme="minorEastAsia" w:hint="eastAsia"/>
          <w:sz w:val="24"/>
          <w:szCs w:val="23"/>
        </w:rPr>
        <w:t>月</w:t>
      </w:r>
      <w:r w:rsidR="00351E01">
        <w:rPr>
          <w:rFonts w:asciiTheme="minorEastAsia" w:eastAsiaTheme="minorEastAsia" w:hAnsiTheme="minorEastAsia"/>
          <w:sz w:val="24"/>
          <w:szCs w:val="23"/>
        </w:rPr>
        <w:t>31</w:t>
      </w:r>
      <w:r>
        <w:rPr>
          <w:rFonts w:asciiTheme="minorEastAsia" w:eastAsiaTheme="minorEastAsia" w:hAnsiTheme="minorEastAsia" w:hint="eastAsia"/>
          <w:sz w:val="24"/>
          <w:szCs w:val="23"/>
        </w:rPr>
        <w:t>日披露了《</w:t>
      </w:r>
      <w:r>
        <w:rPr>
          <w:rFonts w:asciiTheme="minorEastAsia" w:eastAsiaTheme="minorEastAsia" w:hAnsiTheme="minorEastAsia" w:hint="eastAsia"/>
          <w:sz w:val="24"/>
          <w:szCs w:val="24"/>
        </w:rPr>
        <w:t>关于董事</w:t>
      </w:r>
      <w:r>
        <w:rPr>
          <w:rFonts w:asciiTheme="minorEastAsia" w:eastAsiaTheme="minorEastAsia" w:hAnsiTheme="minorEastAsia"/>
          <w:sz w:val="24"/>
          <w:szCs w:val="24"/>
        </w:rPr>
        <w:t>兼高级管理人员减持数量过半的进展公告</w:t>
      </w:r>
      <w:r>
        <w:rPr>
          <w:rFonts w:asciiTheme="minorEastAsia" w:eastAsiaTheme="minorEastAsia" w:hAnsiTheme="minorEastAsia" w:hint="eastAsia"/>
          <w:sz w:val="24"/>
          <w:szCs w:val="23"/>
        </w:rPr>
        <w:t>》（公告</w:t>
      </w:r>
      <w:r>
        <w:rPr>
          <w:rFonts w:asciiTheme="minorEastAsia" w:eastAsiaTheme="minorEastAsia" w:hAnsiTheme="minorEastAsia"/>
          <w:sz w:val="24"/>
          <w:szCs w:val="23"/>
        </w:rPr>
        <w:t>编号</w:t>
      </w:r>
      <w:r>
        <w:rPr>
          <w:rFonts w:asciiTheme="minorEastAsia" w:eastAsiaTheme="minorEastAsia" w:hAnsiTheme="minorEastAsia" w:hint="eastAsia"/>
          <w:sz w:val="24"/>
          <w:szCs w:val="23"/>
        </w:rPr>
        <w:t>：202</w:t>
      </w:r>
      <w:r w:rsidR="00351E01">
        <w:rPr>
          <w:rFonts w:asciiTheme="minorEastAsia" w:eastAsiaTheme="minorEastAsia" w:hAnsiTheme="minorEastAsia"/>
          <w:sz w:val="24"/>
          <w:szCs w:val="23"/>
        </w:rPr>
        <w:t>2</w:t>
      </w:r>
      <w:r>
        <w:rPr>
          <w:rFonts w:asciiTheme="minorEastAsia" w:eastAsiaTheme="minorEastAsia" w:hAnsiTheme="minorEastAsia"/>
          <w:sz w:val="24"/>
          <w:szCs w:val="23"/>
        </w:rPr>
        <w:t>-07</w:t>
      </w:r>
      <w:r w:rsidR="00351E01">
        <w:rPr>
          <w:rFonts w:asciiTheme="minorEastAsia" w:eastAsiaTheme="minorEastAsia" w:hAnsiTheme="minorEastAsia"/>
          <w:sz w:val="24"/>
          <w:szCs w:val="23"/>
        </w:rPr>
        <w:t>2</w:t>
      </w:r>
      <w:r>
        <w:rPr>
          <w:rFonts w:asciiTheme="minorEastAsia" w:eastAsiaTheme="minorEastAsia" w:hAnsiTheme="minorEastAsia" w:hint="eastAsia"/>
          <w:sz w:val="24"/>
          <w:szCs w:val="23"/>
        </w:rPr>
        <w:t>）。</w:t>
      </w:r>
    </w:p>
    <w:p w14:paraId="7C8D40B4" w14:textId="3D2D2B2D" w:rsidR="00F52C7A" w:rsidRDefault="00E564D7">
      <w:pPr>
        <w:spacing w:line="360" w:lineRule="auto"/>
        <w:ind w:firstLineChars="200" w:firstLine="480"/>
        <w:rPr>
          <w:rFonts w:eastAsiaTheme="minorEastAsia"/>
          <w:sz w:val="24"/>
          <w:szCs w:val="23"/>
        </w:rPr>
      </w:pPr>
      <w:r>
        <w:rPr>
          <w:rFonts w:eastAsiaTheme="minorEastAsia" w:hint="eastAsia"/>
          <w:sz w:val="24"/>
          <w:szCs w:val="23"/>
        </w:rPr>
        <w:t>2</w:t>
      </w:r>
      <w:r>
        <w:rPr>
          <w:rFonts w:eastAsiaTheme="minorEastAsia"/>
          <w:sz w:val="24"/>
          <w:szCs w:val="23"/>
        </w:rPr>
        <w:t>022</w:t>
      </w:r>
      <w:r>
        <w:rPr>
          <w:rFonts w:eastAsiaTheme="minorEastAsia" w:hint="eastAsia"/>
          <w:sz w:val="24"/>
          <w:szCs w:val="23"/>
        </w:rPr>
        <w:t>年</w:t>
      </w:r>
      <w:r w:rsidR="00D24747">
        <w:rPr>
          <w:rFonts w:eastAsiaTheme="minorEastAsia"/>
          <w:sz w:val="24"/>
          <w:szCs w:val="23"/>
        </w:rPr>
        <w:t>11</w:t>
      </w:r>
      <w:r>
        <w:rPr>
          <w:rFonts w:eastAsiaTheme="minorEastAsia" w:hint="eastAsia"/>
          <w:sz w:val="24"/>
          <w:szCs w:val="23"/>
        </w:rPr>
        <w:t>月</w:t>
      </w:r>
      <w:r w:rsidR="00D24747">
        <w:rPr>
          <w:rFonts w:eastAsiaTheme="minorEastAsia"/>
          <w:sz w:val="24"/>
          <w:szCs w:val="23"/>
        </w:rPr>
        <w:t>22</w:t>
      </w:r>
      <w:r>
        <w:rPr>
          <w:rFonts w:eastAsiaTheme="minorEastAsia" w:hint="eastAsia"/>
          <w:sz w:val="24"/>
          <w:szCs w:val="23"/>
        </w:rPr>
        <w:t>日</w:t>
      </w:r>
      <w:r>
        <w:rPr>
          <w:rFonts w:eastAsiaTheme="minorEastAsia"/>
          <w:sz w:val="24"/>
          <w:szCs w:val="23"/>
        </w:rPr>
        <w:t>，公司收到</w:t>
      </w:r>
      <w:r>
        <w:rPr>
          <w:rFonts w:eastAsiaTheme="minorEastAsia" w:hint="eastAsia"/>
          <w:sz w:val="24"/>
          <w:szCs w:val="23"/>
        </w:rPr>
        <w:t>邹鹏先生出具</w:t>
      </w:r>
      <w:r>
        <w:rPr>
          <w:rFonts w:eastAsiaTheme="minorEastAsia"/>
          <w:sz w:val="24"/>
          <w:szCs w:val="23"/>
        </w:rPr>
        <w:t>的《</w:t>
      </w:r>
      <w:r>
        <w:rPr>
          <w:rFonts w:eastAsiaTheme="minorEastAsia" w:hint="eastAsia"/>
          <w:sz w:val="24"/>
          <w:szCs w:val="23"/>
        </w:rPr>
        <w:t>关于减持</w:t>
      </w:r>
      <w:r w:rsidR="00F25330">
        <w:rPr>
          <w:rFonts w:eastAsiaTheme="minorEastAsia" w:hint="eastAsia"/>
          <w:sz w:val="24"/>
          <w:szCs w:val="23"/>
        </w:rPr>
        <w:t>公司股票</w:t>
      </w:r>
      <w:r>
        <w:rPr>
          <w:rFonts w:eastAsiaTheme="minorEastAsia"/>
          <w:sz w:val="24"/>
          <w:szCs w:val="23"/>
        </w:rPr>
        <w:t>计划</w:t>
      </w:r>
      <w:r w:rsidR="00D24747">
        <w:rPr>
          <w:rFonts w:eastAsiaTheme="minorEastAsia" w:hint="eastAsia"/>
          <w:sz w:val="24"/>
          <w:szCs w:val="23"/>
        </w:rPr>
        <w:t>完成</w:t>
      </w:r>
      <w:r>
        <w:rPr>
          <w:rFonts w:eastAsiaTheme="minorEastAsia"/>
          <w:sz w:val="24"/>
          <w:szCs w:val="23"/>
        </w:rPr>
        <w:t>的告知函》</w:t>
      </w:r>
      <w:r>
        <w:rPr>
          <w:rFonts w:eastAsiaTheme="minorEastAsia" w:hint="eastAsia"/>
          <w:sz w:val="24"/>
          <w:szCs w:val="23"/>
        </w:rPr>
        <w:t>。</w:t>
      </w:r>
      <w:r>
        <w:rPr>
          <w:rFonts w:eastAsiaTheme="minorEastAsia"/>
          <w:sz w:val="24"/>
          <w:szCs w:val="23"/>
        </w:rPr>
        <w:t>具体</w:t>
      </w:r>
      <w:r>
        <w:rPr>
          <w:rFonts w:eastAsiaTheme="minorEastAsia" w:hint="eastAsia"/>
          <w:sz w:val="24"/>
          <w:szCs w:val="23"/>
        </w:rPr>
        <w:t>减持</w:t>
      </w:r>
      <w:r>
        <w:rPr>
          <w:rFonts w:eastAsiaTheme="minorEastAsia"/>
          <w:sz w:val="24"/>
          <w:szCs w:val="23"/>
        </w:rPr>
        <w:t>计划实施情况如下：</w:t>
      </w:r>
      <w:r>
        <w:rPr>
          <w:rFonts w:eastAsiaTheme="minorEastAsia" w:hint="eastAsia"/>
          <w:sz w:val="24"/>
          <w:szCs w:val="23"/>
        </w:rPr>
        <w:t xml:space="preserve"> </w:t>
      </w:r>
    </w:p>
    <w:p w14:paraId="51F82F67" w14:textId="77777777" w:rsidR="00F52C7A" w:rsidRDefault="00E564D7">
      <w:pPr>
        <w:spacing w:line="360" w:lineRule="auto"/>
        <w:ind w:firstLineChars="200" w:firstLine="482"/>
        <w:jc w:val="left"/>
        <w:rPr>
          <w:b/>
          <w:color w:val="000000"/>
          <w:kern w:val="0"/>
          <w:sz w:val="24"/>
        </w:rPr>
      </w:pPr>
      <w:r>
        <w:rPr>
          <w:rFonts w:hint="eastAsia"/>
          <w:b/>
          <w:color w:val="000000"/>
          <w:kern w:val="0"/>
          <w:sz w:val="24"/>
        </w:rPr>
        <w:t>一、股东减持情况</w:t>
      </w:r>
    </w:p>
    <w:p w14:paraId="393F5F8E" w14:textId="77777777" w:rsidR="00F52C7A" w:rsidRDefault="00E564D7">
      <w:pPr>
        <w:spacing w:line="360" w:lineRule="auto"/>
        <w:ind w:firstLineChars="200" w:firstLine="482"/>
        <w:jc w:val="left"/>
        <w:rPr>
          <w:b/>
          <w:color w:val="000000"/>
          <w:kern w:val="0"/>
          <w:sz w:val="24"/>
        </w:rPr>
      </w:pPr>
      <w:r>
        <w:rPr>
          <w:rFonts w:hint="eastAsia"/>
          <w:b/>
          <w:color w:val="000000"/>
          <w:kern w:val="0"/>
          <w:sz w:val="24"/>
        </w:rPr>
        <w:t>（一）减持股份情况</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76"/>
        <w:gridCol w:w="2368"/>
        <w:gridCol w:w="1298"/>
        <w:gridCol w:w="1395"/>
        <w:gridCol w:w="1765"/>
      </w:tblGrid>
      <w:tr w:rsidR="00F52C7A" w14:paraId="334CD570" w14:textId="77777777">
        <w:trPr>
          <w:trHeight w:val="1074"/>
          <w:jc w:val="center"/>
        </w:trPr>
        <w:tc>
          <w:tcPr>
            <w:tcW w:w="1115" w:type="dxa"/>
            <w:tcBorders>
              <w:top w:val="single" w:sz="4" w:space="0" w:color="auto"/>
              <w:left w:val="single" w:sz="4" w:space="0" w:color="auto"/>
              <w:bottom w:val="single" w:sz="4" w:space="0" w:color="auto"/>
              <w:right w:val="single" w:sz="4" w:space="0" w:color="auto"/>
            </w:tcBorders>
            <w:vAlign w:val="center"/>
          </w:tcPr>
          <w:p w14:paraId="4F419BF5" w14:textId="77777777" w:rsidR="00F52C7A" w:rsidRDefault="00E564D7">
            <w:pPr>
              <w:spacing w:beforeLines="50" w:before="156" w:line="360" w:lineRule="auto"/>
              <w:jc w:val="center"/>
              <w:rPr>
                <w:rFonts w:ascii="Calibri" w:hAnsi="Calibri"/>
                <w:b/>
                <w:color w:val="000000"/>
                <w:kern w:val="0"/>
                <w:szCs w:val="21"/>
              </w:rPr>
            </w:pPr>
            <w:r>
              <w:rPr>
                <w:rFonts w:ascii="Calibri" w:hAnsi="Calibri" w:hint="eastAsia"/>
                <w:b/>
                <w:color w:val="000000"/>
                <w:kern w:val="0"/>
                <w:szCs w:val="21"/>
              </w:rPr>
              <w:t>股东</w:t>
            </w:r>
            <w:r>
              <w:rPr>
                <w:rFonts w:ascii="Calibri" w:hAnsi="Calibri"/>
                <w:b/>
                <w:color w:val="000000"/>
                <w:kern w:val="0"/>
                <w:szCs w:val="21"/>
              </w:rPr>
              <w:t>名称</w:t>
            </w:r>
          </w:p>
        </w:tc>
        <w:tc>
          <w:tcPr>
            <w:tcW w:w="1176" w:type="dxa"/>
            <w:tcBorders>
              <w:top w:val="single" w:sz="4" w:space="0" w:color="auto"/>
              <w:left w:val="single" w:sz="4" w:space="0" w:color="auto"/>
              <w:bottom w:val="single" w:sz="4" w:space="0" w:color="auto"/>
              <w:right w:val="single" w:sz="4" w:space="0" w:color="auto"/>
            </w:tcBorders>
            <w:vAlign w:val="center"/>
          </w:tcPr>
          <w:p w14:paraId="2308E9E3" w14:textId="77777777" w:rsidR="00F52C7A" w:rsidRDefault="00E564D7">
            <w:pPr>
              <w:spacing w:beforeLines="50" w:before="156" w:line="360" w:lineRule="auto"/>
              <w:jc w:val="center"/>
              <w:rPr>
                <w:rFonts w:ascii="Calibri" w:hAnsi="Calibri"/>
                <w:b/>
                <w:color w:val="000000"/>
                <w:kern w:val="0"/>
                <w:szCs w:val="21"/>
              </w:rPr>
            </w:pPr>
            <w:r>
              <w:rPr>
                <w:rFonts w:ascii="Calibri" w:hAnsi="Calibri" w:hint="eastAsia"/>
                <w:b/>
                <w:color w:val="000000"/>
                <w:kern w:val="0"/>
                <w:szCs w:val="21"/>
              </w:rPr>
              <w:t>减持方式</w:t>
            </w:r>
          </w:p>
        </w:tc>
        <w:tc>
          <w:tcPr>
            <w:tcW w:w="2368" w:type="dxa"/>
            <w:tcBorders>
              <w:top w:val="single" w:sz="4" w:space="0" w:color="auto"/>
              <w:left w:val="single" w:sz="4" w:space="0" w:color="auto"/>
              <w:bottom w:val="single" w:sz="4" w:space="0" w:color="auto"/>
              <w:right w:val="single" w:sz="4" w:space="0" w:color="auto"/>
            </w:tcBorders>
            <w:vAlign w:val="center"/>
          </w:tcPr>
          <w:p w14:paraId="280161D0" w14:textId="77777777" w:rsidR="00F52C7A" w:rsidRDefault="00E564D7">
            <w:pPr>
              <w:spacing w:beforeLines="50" w:before="156" w:line="360" w:lineRule="auto"/>
              <w:jc w:val="center"/>
              <w:rPr>
                <w:rFonts w:ascii="Calibri" w:hAnsi="Calibri"/>
                <w:b/>
                <w:color w:val="000000"/>
                <w:kern w:val="0"/>
                <w:szCs w:val="21"/>
              </w:rPr>
            </w:pPr>
            <w:r>
              <w:rPr>
                <w:rFonts w:ascii="Calibri" w:hAnsi="Calibri" w:hint="eastAsia"/>
                <w:b/>
                <w:color w:val="000000"/>
                <w:kern w:val="0"/>
                <w:szCs w:val="21"/>
              </w:rPr>
              <w:t>减持日期</w:t>
            </w:r>
          </w:p>
        </w:tc>
        <w:tc>
          <w:tcPr>
            <w:tcW w:w="1298" w:type="dxa"/>
            <w:tcBorders>
              <w:top w:val="single" w:sz="4" w:space="0" w:color="auto"/>
              <w:left w:val="single" w:sz="4" w:space="0" w:color="auto"/>
              <w:bottom w:val="single" w:sz="4" w:space="0" w:color="auto"/>
              <w:right w:val="single" w:sz="4" w:space="0" w:color="auto"/>
            </w:tcBorders>
            <w:vAlign w:val="center"/>
          </w:tcPr>
          <w:p w14:paraId="581232D1" w14:textId="77777777" w:rsidR="00F52C7A" w:rsidRDefault="00E564D7">
            <w:pPr>
              <w:spacing w:beforeLines="50" w:before="156" w:line="360" w:lineRule="auto"/>
              <w:jc w:val="center"/>
              <w:rPr>
                <w:rFonts w:ascii="Calibri" w:hAnsi="Calibri"/>
                <w:b/>
                <w:color w:val="000000"/>
                <w:kern w:val="0"/>
                <w:szCs w:val="21"/>
              </w:rPr>
            </w:pPr>
            <w:r>
              <w:rPr>
                <w:rFonts w:ascii="Calibri" w:hAnsi="Calibri" w:hint="eastAsia"/>
                <w:b/>
                <w:color w:val="000000"/>
                <w:kern w:val="0"/>
                <w:szCs w:val="21"/>
              </w:rPr>
              <w:t>减持均价（元</w:t>
            </w:r>
            <w:r>
              <w:rPr>
                <w:rFonts w:ascii="Calibri" w:hAnsi="Calibri"/>
                <w:b/>
                <w:color w:val="000000"/>
                <w:kern w:val="0"/>
                <w:szCs w:val="21"/>
              </w:rPr>
              <w:t>/</w:t>
            </w:r>
            <w:r>
              <w:rPr>
                <w:rFonts w:ascii="Calibri" w:hAnsi="Calibri" w:hint="eastAsia"/>
                <w:b/>
                <w:color w:val="000000"/>
                <w:kern w:val="0"/>
                <w:szCs w:val="21"/>
              </w:rPr>
              <w:t>股）</w:t>
            </w:r>
          </w:p>
        </w:tc>
        <w:tc>
          <w:tcPr>
            <w:tcW w:w="1395" w:type="dxa"/>
            <w:tcBorders>
              <w:top w:val="single" w:sz="4" w:space="0" w:color="auto"/>
              <w:left w:val="single" w:sz="4" w:space="0" w:color="auto"/>
              <w:bottom w:val="single" w:sz="4" w:space="0" w:color="auto"/>
              <w:right w:val="single" w:sz="4" w:space="0" w:color="auto"/>
            </w:tcBorders>
            <w:vAlign w:val="center"/>
          </w:tcPr>
          <w:p w14:paraId="4D3455FD" w14:textId="77777777" w:rsidR="00F52C7A" w:rsidRDefault="00E564D7">
            <w:pPr>
              <w:spacing w:beforeLines="50" w:before="156" w:line="360" w:lineRule="auto"/>
              <w:jc w:val="center"/>
              <w:rPr>
                <w:rFonts w:ascii="Calibri" w:hAnsi="Calibri"/>
                <w:b/>
                <w:color w:val="000000"/>
                <w:kern w:val="0"/>
                <w:szCs w:val="21"/>
              </w:rPr>
            </w:pPr>
            <w:r>
              <w:rPr>
                <w:rFonts w:ascii="Calibri" w:hAnsi="Calibri" w:hint="eastAsia"/>
                <w:b/>
                <w:color w:val="000000"/>
                <w:kern w:val="0"/>
                <w:szCs w:val="21"/>
              </w:rPr>
              <w:t>减持数（股）</w:t>
            </w:r>
          </w:p>
        </w:tc>
        <w:tc>
          <w:tcPr>
            <w:tcW w:w="1765" w:type="dxa"/>
            <w:tcBorders>
              <w:top w:val="single" w:sz="4" w:space="0" w:color="auto"/>
              <w:left w:val="single" w:sz="4" w:space="0" w:color="auto"/>
              <w:bottom w:val="single" w:sz="4" w:space="0" w:color="auto"/>
              <w:right w:val="single" w:sz="4" w:space="0" w:color="auto"/>
            </w:tcBorders>
            <w:vAlign w:val="center"/>
          </w:tcPr>
          <w:p w14:paraId="6BD3B17C" w14:textId="77777777" w:rsidR="00F52C7A" w:rsidRDefault="00E564D7">
            <w:pPr>
              <w:spacing w:beforeLines="50" w:before="156" w:line="360" w:lineRule="auto"/>
              <w:jc w:val="center"/>
              <w:rPr>
                <w:rFonts w:ascii="Calibri" w:hAnsi="Calibri"/>
                <w:b/>
                <w:color w:val="000000"/>
                <w:kern w:val="0"/>
                <w:szCs w:val="21"/>
              </w:rPr>
            </w:pPr>
            <w:r>
              <w:rPr>
                <w:rFonts w:ascii="Calibri" w:hAnsi="Calibri" w:hint="eastAsia"/>
                <w:b/>
                <w:color w:val="000000"/>
                <w:kern w:val="0"/>
                <w:szCs w:val="21"/>
              </w:rPr>
              <w:t>减持股份占公司总股本的比例</w:t>
            </w:r>
          </w:p>
        </w:tc>
      </w:tr>
      <w:tr w:rsidR="00351E01" w14:paraId="059ADAC1" w14:textId="77777777" w:rsidTr="00746DFB">
        <w:trPr>
          <w:trHeight w:val="370"/>
          <w:jc w:val="center"/>
        </w:trPr>
        <w:tc>
          <w:tcPr>
            <w:tcW w:w="1115" w:type="dxa"/>
            <w:vMerge w:val="restart"/>
            <w:tcBorders>
              <w:top w:val="single" w:sz="4" w:space="0" w:color="auto"/>
              <w:left w:val="single" w:sz="4" w:space="0" w:color="auto"/>
              <w:right w:val="single" w:sz="4" w:space="0" w:color="auto"/>
            </w:tcBorders>
            <w:vAlign w:val="center"/>
          </w:tcPr>
          <w:p w14:paraId="25A4F90A" w14:textId="77777777" w:rsidR="00351E01" w:rsidRDefault="00351E01" w:rsidP="00351E01">
            <w:pPr>
              <w:spacing w:beforeLines="50" w:before="156" w:line="360" w:lineRule="auto"/>
              <w:jc w:val="center"/>
              <w:rPr>
                <w:rFonts w:ascii="Calibri" w:hAnsi="Calibri"/>
                <w:color w:val="000000"/>
                <w:kern w:val="0"/>
                <w:sz w:val="24"/>
              </w:rPr>
            </w:pPr>
            <w:r>
              <w:rPr>
                <w:rFonts w:ascii="Calibri" w:hAnsi="Calibri" w:hint="eastAsia"/>
                <w:color w:val="000000"/>
                <w:kern w:val="0"/>
                <w:sz w:val="24"/>
              </w:rPr>
              <w:t>邹鹏</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44F2B5D2" w14:textId="77777777" w:rsidR="00351E01" w:rsidRDefault="00351E01" w:rsidP="00351E01">
            <w:pPr>
              <w:spacing w:beforeLines="50" w:before="156" w:line="360" w:lineRule="auto"/>
              <w:jc w:val="center"/>
              <w:rPr>
                <w:rFonts w:ascii="Calibri" w:hAnsi="Calibri"/>
                <w:color w:val="000000"/>
                <w:kern w:val="0"/>
                <w:sz w:val="24"/>
              </w:rPr>
            </w:pPr>
            <w:r>
              <w:rPr>
                <w:rFonts w:ascii="Calibri" w:hAnsi="Calibri" w:hint="eastAsia"/>
                <w:color w:val="000000"/>
                <w:kern w:val="0"/>
                <w:sz w:val="24"/>
              </w:rPr>
              <w:t>集中竞价</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2E36142E" w14:textId="08A4269F"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2022</w:t>
            </w:r>
            <w:r w:rsidRPr="00351E01">
              <w:rPr>
                <w:rFonts w:ascii="Calibri" w:hAnsi="Calibri" w:cs="Calibri"/>
                <w:color w:val="000000"/>
                <w:sz w:val="24"/>
                <w:szCs w:val="24"/>
              </w:rPr>
              <w:t>年</w:t>
            </w:r>
            <w:r w:rsidRPr="00351E01">
              <w:rPr>
                <w:rFonts w:ascii="Calibri" w:hAnsi="Calibri" w:cs="Calibri"/>
                <w:color w:val="000000"/>
                <w:sz w:val="24"/>
                <w:szCs w:val="24"/>
              </w:rPr>
              <w:t>8</w:t>
            </w:r>
            <w:r w:rsidRPr="00351E01">
              <w:rPr>
                <w:rFonts w:ascii="Calibri" w:hAnsi="Calibri" w:cs="Calibri"/>
                <w:color w:val="000000"/>
                <w:sz w:val="24"/>
                <w:szCs w:val="24"/>
              </w:rPr>
              <w:t>月</w:t>
            </w:r>
            <w:r w:rsidRPr="00351E01">
              <w:rPr>
                <w:rFonts w:ascii="Calibri" w:hAnsi="Calibri" w:cs="Calibri"/>
                <w:color w:val="000000"/>
                <w:sz w:val="24"/>
                <w:szCs w:val="24"/>
              </w:rPr>
              <w:t>26</w:t>
            </w:r>
            <w:r w:rsidRPr="00351E01">
              <w:rPr>
                <w:rFonts w:ascii="Calibri" w:hAnsi="Calibri" w:cs="Calibri"/>
                <w:color w:val="000000"/>
                <w:sz w:val="24"/>
                <w:szCs w:val="24"/>
              </w:rPr>
              <w:t>日</w:t>
            </w:r>
          </w:p>
        </w:tc>
        <w:tc>
          <w:tcPr>
            <w:tcW w:w="1298" w:type="dxa"/>
            <w:tcBorders>
              <w:top w:val="single" w:sz="4" w:space="0" w:color="auto"/>
              <w:left w:val="nil"/>
              <w:bottom w:val="single" w:sz="4" w:space="0" w:color="auto"/>
              <w:right w:val="single" w:sz="4" w:space="0" w:color="auto"/>
            </w:tcBorders>
            <w:shd w:val="clear" w:color="auto" w:fill="auto"/>
            <w:vAlign w:val="center"/>
          </w:tcPr>
          <w:p w14:paraId="6BB0E8D9" w14:textId="35664191"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28.527</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CE1B940" w14:textId="02618CF7"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175,000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tcPr>
          <w:p w14:paraId="7A8CC628" w14:textId="35B3F93F"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0.0870%</w:t>
            </w:r>
          </w:p>
        </w:tc>
      </w:tr>
      <w:tr w:rsidR="00351E01" w14:paraId="35191F4F" w14:textId="77777777" w:rsidTr="00746DFB">
        <w:trPr>
          <w:trHeight w:val="370"/>
          <w:jc w:val="center"/>
        </w:trPr>
        <w:tc>
          <w:tcPr>
            <w:tcW w:w="1115" w:type="dxa"/>
            <w:vMerge/>
            <w:tcBorders>
              <w:left w:val="single" w:sz="4" w:space="0" w:color="auto"/>
              <w:right w:val="single" w:sz="4" w:space="0" w:color="auto"/>
            </w:tcBorders>
          </w:tcPr>
          <w:p w14:paraId="20C6D916" w14:textId="77777777" w:rsidR="00351E01" w:rsidRDefault="00351E01" w:rsidP="00351E01">
            <w:pPr>
              <w:widowControl/>
              <w:jc w:val="left"/>
              <w:rPr>
                <w:rFonts w:ascii="Calibri" w:hAnsi="Calibri"/>
                <w:color w:val="000000"/>
                <w:kern w:val="0"/>
                <w:sz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0782D299" w14:textId="77777777" w:rsidR="00351E01" w:rsidRDefault="00351E01" w:rsidP="00351E01">
            <w:pPr>
              <w:widowControl/>
              <w:jc w:val="left"/>
              <w:rPr>
                <w:rFonts w:ascii="Calibri" w:hAnsi="Calibri"/>
                <w:color w:val="000000"/>
                <w:kern w:val="0"/>
                <w:sz w:val="24"/>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40D5F480" w14:textId="0FD46618"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2022</w:t>
            </w:r>
            <w:r w:rsidRPr="00351E01">
              <w:rPr>
                <w:rFonts w:ascii="Calibri" w:hAnsi="Calibri" w:cs="Calibri" w:hint="eastAsia"/>
                <w:color w:val="000000"/>
                <w:sz w:val="24"/>
                <w:szCs w:val="24"/>
              </w:rPr>
              <w:t>年</w:t>
            </w:r>
            <w:r w:rsidRPr="00351E01">
              <w:rPr>
                <w:rFonts w:ascii="Calibri" w:hAnsi="Calibri" w:cs="Calibri" w:hint="eastAsia"/>
                <w:color w:val="000000"/>
                <w:sz w:val="24"/>
                <w:szCs w:val="24"/>
              </w:rPr>
              <w:t>9</w:t>
            </w:r>
            <w:r w:rsidRPr="00351E01">
              <w:rPr>
                <w:rFonts w:ascii="Calibri" w:hAnsi="Calibri" w:cs="Calibri" w:hint="eastAsia"/>
                <w:color w:val="000000"/>
                <w:sz w:val="24"/>
                <w:szCs w:val="24"/>
              </w:rPr>
              <w:t>月</w:t>
            </w:r>
            <w:r w:rsidRPr="00351E01">
              <w:rPr>
                <w:rFonts w:ascii="Calibri" w:hAnsi="Calibri" w:cs="Calibri" w:hint="eastAsia"/>
                <w:color w:val="000000"/>
                <w:sz w:val="24"/>
                <w:szCs w:val="24"/>
              </w:rPr>
              <w:t>13</w:t>
            </w:r>
            <w:r w:rsidRPr="00351E01">
              <w:rPr>
                <w:rFonts w:ascii="Calibri" w:hAnsi="Calibri" w:cs="Calibri" w:hint="eastAsia"/>
                <w:color w:val="000000"/>
                <w:sz w:val="24"/>
                <w:szCs w:val="24"/>
              </w:rPr>
              <w:t>日</w:t>
            </w:r>
          </w:p>
        </w:tc>
        <w:tc>
          <w:tcPr>
            <w:tcW w:w="1298" w:type="dxa"/>
            <w:tcBorders>
              <w:top w:val="single" w:sz="4" w:space="0" w:color="auto"/>
              <w:left w:val="nil"/>
              <w:bottom w:val="single" w:sz="4" w:space="0" w:color="auto"/>
              <w:right w:val="single" w:sz="4" w:space="0" w:color="auto"/>
            </w:tcBorders>
            <w:shd w:val="clear" w:color="auto" w:fill="auto"/>
            <w:vAlign w:val="center"/>
          </w:tcPr>
          <w:p w14:paraId="6B119FD3" w14:textId="31460E41"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w:t>
            </w:r>
            <w:r w:rsidRPr="00351E01">
              <w:rPr>
                <w:rFonts w:ascii="Calibri" w:hAnsi="Calibri" w:cs="Calibri"/>
                <w:color w:val="000000"/>
                <w:sz w:val="24"/>
                <w:szCs w:val="24"/>
              </w:rPr>
              <w:t>8.820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E2D4CE1" w14:textId="230EFB1D"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50,000</w:t>
            </w:r>
          </w:p>
        </w:tc>
        <w:tc>
          <w:tcPr>
            <w:tcW w:w="1765" w:type="dxa"/>
            <w:tcBorders>
              <w:top w:val="nil"/>
              <w:left w:val="single" w:sz="4" w:space="0" w:color="auto"/>
              <w:bottom w:val="single" w:sz="4" w:space="0" w:color="auto"/>
              <w:right w:val="single" w:sz="4" w:space="0" w:color="auto"/>
            </w:tcBorders>
            <w:shd w:val="clear" w:color="000000" w:fill="FFFFFF"/>
            <w:vAlign w:val="center"/>
          </w:tcPr>
          <w:p w14:paraId="4AEB0484" w14:textId="55A81646"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0.0249%</w:t>
            </w:r>
          </w:p>
        </w:tc>
      </w:tr>
      <w:tr w:rsidR="00351E01" w14:paraId="1B4BCC80" w14:textId="77777777" w:rsidTr="00746DFB">
        <w:trPr>
          <w:trHeight w:val="370"/>
          <w:jc w:val="center"/>
        </w:trPr>
        <w:tc>
          <w:tcPr>
            <w:tcW w:w="1115" w:type="dxa"/>
            <w:vMerge/>
            <w:tcBorders>
              <w:left w:val="single" w:sz="4" w:space="0" w:color="auto"/>
              <w:right w:val="single" w:sz="4" w:space="0" w:color="auto"/>
            </w:tcBorders>
          </w:tcPr>
          <w:p w14:paraId="1FD2EDFF" w14:textId="77777777" w:rsidR="00351E01" w:rsidRDefault="00351E01" w:rsidP="00351E01">
            <w:pPr>
              <w:widowControl/>
              <w:jc w:val="left"/>
              <w:rPr>
                <w:rFonts w:ascii="Calibri" w:hAnsi="Calibri"/>
                <w:color w:val="000000"/>
                <w:kern w:val="0"/>
                <w:sz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7A01105F" w14:textId="77777777" w:rsidR="00351E01" w:rsidRDefault="00351E01" w:rsidP="00351E01">
            <w:pPr>
              <w:widowControl/>
              <w:jc w:val="left"/>
              <w:rPr>
                <w:rFonts w:ascii="Calibri" w:hAnsi="Calibri"/>
                <w:color w:val="000000"/>
                <w:kern w:val="0"/>
                <w:sz w:val="24"/>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15DE0A52" w14:textId="2F8D28E4"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2022</w:t>
            </w:r>
            <w:r w:rsidRPr="00351E01">
              <w:rPr>
                <w:rFonts w:ascii="Calibri" w:hAnsi="Calibri" w:cs="Calibri" w:hint="eastAsia"/>
                <w:color w:val="000000"/>
                <w:sz w:val="24"/>
                <w:szCs w:val="24"/>
              </w:rPr>
              <w:t>年</w:t>
            </w:r>
            <w:r w:rsidRPr="00351E01">
              <w:rPr>
                <w:rFonts w:ascii="Calibri" w:hAnsi="Calibri" w:cs="Calibri" w:hint="eastAsia"/>
                <w:color w:val="000000"/>
                <w:sz w:val="24"/>
                <w:szCs w:val="24"/>
              </w:rPr>
              <w:t>9</w:t>
            </w:r>
            <w:r w:rsidRPr="00351E01">
              <w:rPr>
                <w:rFonts w:ascii="Calibri" w:hAnsi="Calibri" w:cs="Calibri" w:hint="eastAsia"/>
                <w:color w:val="000000"/>
                <w:sz w:val="24"/>
                <w:szCs w:val="24"/>
              </w:rPr>
              <w:t>月</w:t>
            </w:r>
            <w:r w:rsidRPr="00351E01">
              <w:rPr>
                <w:rFonts w:ascii="Calibri" w:hAnsi="Calibri" w:cs="Calibri" w:hint="eastAsia"/>
                <w:color w:val="000000"/>
                <w:sz w:val="24"/>
                <w:szCs w:val="24"/>
              </w:rPr>
              <w:t>1</w:t>
            </w:r>
            <w:r w:rsidRPr="00351E01">
              <w:rPr>
                <w:rFonts w:ascii="Calibri" w:hAnsi="Calibri" w:cs="Calibri"/>
                <w:color w:val="000000"/>
                <w:sz w:val="24"/>
                <w:szCs w:val="24"/>
              </w:rPr>
              <w:t>4</w:t>
            </w:r>
            <w:r w:rsidRPr="00351E01">
              <w:rPr>
                <w:rFonts w:ascii="Calibri" w:hAnsi="Calibri" w:cs="Calibri" w:hint="eastAsia"/>
                <w:color w:val="000000"/>
                <w:sz w:val="24"/>
                <w:szCs w:val="24"/>
              </w:rPr>
              <w:t>日</w:t>
            </w:r>
          </w:p>
        </w:tc>
        <w:tc>
          <w:tcPr>
            <w:tcW w:w="1298" w:type="dxa"/>
            <w:tcBorders>
              <w:top w:val="single" w:sz="4" w:space="0" w:color="auto"/>
              <w:left w:val="nil"/>
              <w:bottom w:val="single" w:sz="4" w:space="0" w:color="auto"/>
              <w:right w:val="single" w:sz="4" w:space="0" w:color="auto"/>
            </w:tcBorders>
            <w:shd w:val="clear" w:color="auto" w:fill="auto"/>
            <w:vAlign w:val="center"/>
          </w:tcPr>
          <w:p w14:paraId="023E9E5F" w14:textId="587A6173"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w:t>
            </w:r>
            <w:r w:rsidRPr="00351E01">
              <w:rPr>
                <w:rFonts w:ascii="Calibri" w:hAnsi="Calibri" w:cs="Calibri"/>
                <w:color w:val="000000"/>
                <w:sz w:val="24"/>
                <w:szCs w:val="24"/>
              </w:rPr>
              <w:t>8.28</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374E46ED" w14:textId="1EB4F41F"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72,900</w:t>
            </w:r>
          </w:p>
        </w:tc>
        <w:tc>
          <w:tcPr>
            <w:tcW w:w="1765" w:type="dxa"/>
            <w:tcBorders>
              <w:top w:val="nil"/>
              <w:left w:val="single" w:sz="4" w:space="0" w:color="auto"/>
              <w:bottom w:val="single" w:sz="4" w:space="0" w:color="auto"/>
              <w:right w:val="single" w:sz="4" w:space="0" w:color="auto"/>
            </w:tcBorders>
            <w:shd w:val="clear" w:color="000000" w:fill="FFFFFF"/>
            <w:vAlign w:val="center"/>
          </w:tcPr>
          <w:p w14:paraId="5103D694" w14:textId="471C0989"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0.0362%</w:t>
            </w:r>
          </w:p>
        </w:tc>
      </w:tr>
      <w:tr w:rsidR="00351E01" w14:paraId="13445D20" w14:textId="77777777" w:rsidTr="00746DFB">
        <w:trPr>
          <w:trHeight w:val="370"/>
          <w:jc w:val="center"/>
        </w:trPr>
        <w:tc>
          <w:tcPr>
            <w:tcW w:w="1115" w:type="dxa"/>
            <w:vMerge/>
            <w:tcBorders>
              <w:left w:val="single" w:sz="4" w:space="0" w:color="auto"/>
              <w:right w:val="single" w:sz="4" w:space="0" w:color="auto"/>
            </w:tcBorders>
          </w:tcPr>
          <w:p w14:paraId="45F11115" w14:textId="77777777" w:rsidR="00351E01" w:rsidRDefault="00351E01" w:rsidP="00351E01">
            <w:pPr>
              <w:widowControl/>
              <w:jc w:val="left"/>
              <w:rPr>
                <w:rFonts w:ascii="Calibri" w:hAnsi="Calibri"/>
                <w:color w:val="000000"/>
                <w:kern w:val="0"/>
                <w:sz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4C293083" w14:textId="77777777" w:rsidR="00351E01" w:rsidRDefault="00351E01" w:rsidP="00351E01">
            <w:pPr>
              <w:widowControl/>
              <w:jc w:val="left"/>
              <w:rPr>
                <w:rFonts w:ascii="Calibri" w:hAnsi="Calibri"/>
                <w:color w:val="000000"/>
                <w:kern w:val="0"/>
                <w:sz w:val="24"/>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63370248" w14:textId="27F3D020"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2022</w:t>
            </w:r>
            <w:r w:rsidRPr="00351E01">
              <w:rPr>
                <w:rFonts w:ascii="Calibri" w:hAnsi="Calibri" w:cs="Calibri" w:hint="eastAsia"/>
                <w:color w:val="000000"/>
                <w:sz w:val="24"/>
                <w:szCs w:val="24"/>
              </w:rPr>
              <w:t>年</w:t>
            </w:r>
            <w:r w:rsidRPr="00351E01">
              <w:rPr>
                <w:rFonts w:ascii="Calibri" w:hAnsi="Calibri" w:cs="Calibri" w:hint="eastAsia"/>
                <w:color w:val="000000"/>
                <w:sz w:val="24"/>
                <w:szCs w:val="24"/>
              </w:rPr>
              <w:t>9</w:t>
            </w:r>
            <w:r w:rsidRPr="00351E01">
              <w:rPr>
                <w:rFonts w:ascii="Calibri" w:hAnsi="Calibri" w:cs="Calibri" w:hint="eastAsia"/>
                <w:color w:val="000000"/>
                <w:sz w:val="24"/>
                <w:szCs w:val="24"/>
              </w:rPr>
              <w:t>月</w:t>
            </w:r>
            <w:r w:rsidRPr="00351E01">
              <w:rPr>
                <w:rFonts w:ascii="Calibri" w:hAnsi="Calibri" w:cs="Calibri" w:hint="eastAsia"/>
                <w:color w:val="000000"/>
                <w:sz w:val="24"/>
                <w:szCs w:val="24"/>
              </w:rPr>
              <w:t>1</w:t>
            </w:r>
            <w:r w:rsidRPr="00351E01">
              <w:rPr>
                <w:rFonts w:ascii="Calibri" w:hAnsi="Calibri" w:cs="Calibri"/>
                <w:color w:val="000000"/>
                <w:sz w:val="24"/>
                <w:szCs w:val="24"/>
              </w:rPr>
              <w:t>5</w:t>
            </w:r>
            <w:r w:rsidRPr="00351E01">
              <w:rPr>
                <w:rFonts w:ascii="Calibri" w:hAnsi="Calibri" w:cs="Calibri" w:hint="eastAsia"/>
                <w:color w:val="000000"/>
                <w:sz w:val="24"/>
                <w:szCs w:val="24"/>
              </w:rPr>
              <w:t>日</w:t>
            </w:r>
          </w:p>
        </w:tc>
        <w:tc>
          <w:tcPr>
            <w:tcW w:w="1298" w:type="dxa"/>
            <w:tcBorders>
              <w:top w:val="single" w:sz="4" w:space="0" w:color="auto"/>
              <w:left w:val="nil"/>
              <w:bottom w:val="single" w:sz="4" w:space="0" w:color="auto"/>
              <w:right w:val="single" w:sz="4" w:space="0" w:color="auto"/>
            </w:tcBorders>
            <w:shd w:val="clear" w:color="auto" w:fill="auto"/>
            <w:vAlign w:val="center"/>
          </w:tcPr>
          <w:p w14:paraId="505F6530" w14:textId="18CE23EA"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w:t>
            </w:r>
            <w:r w:rsidRPr="00351E01">
              <w:rPr>
                <w:rFonts w:ascii="Calibri" w:hAnsi="Calibri" w:cs="Calibri"/>
                <w:color w:val="000000"/>
                <w:sz w:val="24"/>
                <w:szCs w:val="24"/>
              </w:rPr>
              <w:t>9.157</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6B9C4E4" w14:textId="584AE0D7"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1</w:t>
            </w:r>
            <w:r w:rsidRPr="00351E01">
              <w:rPr>
                <w:rFonts w:ascii="Calibri" w:hAnsi="Calibri" w:cs="Calibri" w:hint="eastAsia"/>
                <w:color w:val="000000"/>
                <w:sz w:val="24"/>
                <w:szCs w:val="24"/>
              </w:rPr>
              <w:t>0,000</w:t>
            </w:r>
          </w:p>
        </w:tc>
        <w:tc>
          <w:tcPr>
            <w:tcW w:w="1765" w:type="dxa"/>
            <w:tcBorders>
              <w:top w:val="nil"/>
              <w:left w:val="single" w:sz="4" w:space="0" w:color="auto"/>
              <w:bottom w:val="single" w:sz="4" w:space="0" w:color="auto"/>
              <w:right w:val="single" w:sz="4" w:space="0" w:color="auto"/>
            </w:tcBorders>
            <w:shd w:val="clear" w:color="000000" w:fill="FFFFFF"/>
            <w:vAlign w:val="center"/>
          </w:tcPr>
          <w:p w14:paraId="4FC35297" w14:textId="668D9395"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0.0050%</w:t>
            </w:r>
          </w:p>
        </w:tc>
      </w:tr>
      <w:tr w:rsidR="00351E01" w14:paraId="70B2F303" w14:textId="77777777" w:rsidTr="00746DFB">
        <w:trPr>
          <w:trHeight w:val="370"/>
          <w:jc w:val="center"/>
        </w:trPr>
        <w:tc>
          <w:tcPr>
            <w:tcW w:w="1115" w:type="dxa"/>
            <w:vMerge/>
            <w:tcBorders>
              <w:left w:val="single" w:sz="4" w:space="0" w:color="auto"/>
              <w:right w:val="single" w:sz="4" w:space="0" w:color="auto"/>
            </w:tcBorders>
          </w:tcPr>
          <w:p w14:paraId="40B5482D" w14:textId="77777777" w:rsidR="00351E01" w:rsidRDefault="00351E01" w:rsidP="00351E01">
            <w:pPr>
              <w:widowControl/>
              <w:jc w:val="left"/>
              <w:rPr>
                <w:rFonts w:ascii="Calibri" w:hAnsi="Calibri"/>
                <w:color w:val="000000"/>
                <w:kern w:val="0"/>
                <w:sz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059EBEFE" w14:textId="77777777" w:rsidR="00351E01" w:rsidRDefault="00351E01" w:rsidP="00351E01">
            <w:pPr>
              <w:widowControl/>
              <w:jc w:val="left"/>
              <w:rPr>
                <w:rFonts w:ascii="Calibri" w:hAnsi="Calibri"/>
                <w:color w:val="000000"/>
                <w:kern w:val="0"/>
                <w:sz w:val="24"/>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3611C52E" w14:textId="6A5EDCD8"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2022</w:t>
            </w:r>
            <w:r w:rsidRPr="00351E01">
              <w:rPr>
                <w:rFonts w:ascii="Calibri" w:hAnsi="Calibri" w:cs="Calibri" w:hint="eastAsia"/>
                <w:color w:val="000000"/>
                <w:sz w:val="24"/>
                <w:szCs w:val="24"/>
              </w:rPr>
              <w:t>年</w:t>
            </w:r>
            <w:r w:rsidRPr="00351E01">
              <w:rPr>
                <w:rFonts w:ascii="Calibri" w:hAnsi="Calibri" w:cs="Calibri" w:hint="eastAsia"/>
                <w:color w:val="000000"/>
                <w:sz w:val="24"/>
                <w:szCs w:val="24"/>
              </w:rPr>
              <w:t>11</w:t>
            </w:r>
            <w:r w:rsidRPr="00351E01">
              <w:rPr>
                <w:rFonts w:ascii="Calibri" w:hAnsi="Calibri" w:cs="Calibri" w:hint="eastAsia"/>
                <w:color w:val="000000"/>
                <w:sz w:val="24"/>
                <w:szCs w:val="24"/>
              </w:rPr>
              <w:t>月</w:t>
            </w:r>
            <w:r w:rsidRPr="00351E01">
              <w:rPr>
                <w:rFonts w:ascii="Calibri" w:hAnsi="Calibri" w:cs="Calibri" w:hint="eastAsia"/>
                <w:color w:val="000000"/>
                <w:sz w:val="24"/>
                <w:szCs w:val="24"/>
              </w:rPr>
              <w:t>04</w:t>
            </w:r>
            <w:r w:rsidRPr="00351E01">
              <w:rPr>
                <w:rFonts w:ascii="Calibri" w:hAnsi="Calibri" w:cs="Calibri" w:hint="eastAsia"/>
                <w:color w:val="000000"/>
                <w:sz w:val="24"/>
                <w:szCs w:val="24"/>
              </w:rPr>
              <w:t>日</w:t>
            </w:r>
          </w:p>
        </w:tc>
        <w:tc>
          <w:tcPr>
            <w:tcW w:w="1298" w:type="dxa"/>
            <w:tcBorders>
              <w:top w:val="single" w:sz="4" w:space="0" w:color="auto"/>
              <w:left w:val="nil"/>
              <w:bottom w:val="single" w:sz="4" w:space="0" w:color="auto"/>
              <w:right w:val="single" w:sz="4" w:space="0" w:color="auto"/>
            </w:tcBorders>
            <w:shd w:val="clear" w:color="auto" w:fill="auto"/>
            <w:vAlign w:val="center"/>
          </w:tcPr>
          <w:p w14:paraId="62C6444F" w14:textId="67657B30"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w:t>
            </w:r>
            <w:r w:rsidRPr="00351E01">
              <w:rPr>
                <w:rFonts w:ascii="Calibri" w:hAnsi="Calibri" w:cs="Calibri"/>
                <w:color w:val="000000"/>
                <w:sz w:val="24"/>
                <w:szCs w:val="24"/>
              </w:rPr>
              <w:t>9.814</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B37794B" w14:textId="4F5D8F56"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400,000</w:t>
            </w:r>
          </w:p>
        </w:tc>
        <w:tc>
          <w:tcPr>
            <w:tcW w:w="1765" w:type="dxa"/>
            <w:tcBorders>
              <w:top w:val="nil"/>
              <w:left w:val="single" w:sz="4" w:space="0" w:color="auto"/>
              <w:bottom w:val="single" w:sz="4" w:space="0" w:color="auto"/>
              <w:right w:val="single" w:sz="4" w:space="0" w:color="auto"/>
            </w:tcBorders>
            <w:shd w:val="clear" w:color="000000" w:fill="FFFFFF"/>
            <w:vAlign w:val="center"/>
          </w:tcPr>
          <w:p w14:paraId="4A350FFB" w14:textId="5B9C4EFC"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0.1989%</w:t>
            </w:r>
          </w:p>
        </w:tc>
      </w:tr>
      <w:tr w:rsidR="00351E01" w14:paraId="07FACE7D" w14:textId="77777777" w:rsidTr="00746DFB">
        <w:trPr>
          <w:trHeight w:val="370"/>
          <w:jc w:val="center"/>
        </w:trPr>
        <w:tc>
          <w:tcPr>
            <w:tcW w:w="1115" w:type="dxa"/>
            <w:vMerge/>
            <w:tcBorders>
              <w:left w:val="single" w:sz="4" w:space="0" w:color="auto"/>
              <w:right w:val="single" w:sz="4" w:space="0" w:color="auto"/>
            </w:tcBorders>
          </w:tcPr>
          <w:p w14:paraId="1C21AA56" w14:textId="77777777" w:rsidR="00351E01" w:rsidRDefault="00351E01" w:rsidP="00351E01">
            <w:pPr>
              <w:widowControl/>
              <w:jc w:val="left"/>
              <w:rPr>
                <w:rFonts w:ascii="Calibri" w:hAnsi="Calibri"/>
                <w:color w:val="000000"/>
                <w:kern w:val="0"/>
                <w:sz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52905C9D" w14:textId="77777777" w:rsidR="00351E01" w:rsidRDefault="00351E01" w:rsidP="00351E01">
            <w:pPr>
              <w:widowControl/>
              <w:jc w:val="left"/>
              <w:rPr>
                <w:rFonts w:ascii="Calibri" w:hAnsi="Calibri"/>
                <w:color w:val="000000"/>
                <w:kern w:val="0"/>
                <w:sz w:val="24"/>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073DD5CB" w14:textId="09AAFA22"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2022</w:t>
            </w:r>
            <w:r w:rsidRPr="00351E01">
              <w:rPr>
                <w:rFonts w:ascii="Calibri" w:hAnsi="Calibri" w:cs="Calibri" w:hint="eastAsia"/>
                <w:color w:val="000000"/>
                <w:sz w:val="24"/>
                <w:szCs w:val="24"/>
              </w:rPr>
              <w:t>年</w:t>
            </w:r>
            <w:r w:rsidRPr="00351E01">
              <w:rPr>
                <w:rFonts w:ascii="Calibri" w:hAnsi="Calibri" w:cs="Calibri" w:hint="eastAsia"/>
                <w:color w:val="000000"/>
                <w:sz w:val="24"/>
                <w:szCs w:val="24"/>
              </w:rPr>
              <w:t>11</w:t>
            </w:r>
            <w:r w:rsidRPr="00351E01">
              <w:rPr>
                <w:rFonts w:ascii="Calibri" w:hAnsi="Calibri" w:cs="Calibri" w:hint="eastAsia"/>
                <w:color w:val="000000"/>
                <w:sz w:val="24"/>
                <w:szCs w:val="24"/>
              </w:rPr>
              <w:t>月</w:t>
            </w:r>
            <w:r w:rsidRPr="00351E01">
              <w:rPr>
                <w:rFonts w:ascii="Calibri" w:hAnsi="Calibri" w:cs="Calibri" w:hint="eastAsia"/>
                <w:color w:val="000000"/>
                <w:sz w:val="24"/>
                <w:szCs w:val="24"/>
              </w:rPr>
              <w:t>07</w:t>
            </w:r>
            <w:r w:rsidRPr="00351E01">
              <w:rPr>
                <w:rFonts w:ascii="Calibri" w:hAnsi="Calibri" w:cs="Calibri" w:hint="eastAsia"/>
                <w:color w:val="000000"/>
                <w:sz w:val="24"/>
                <w:szCs w:val="24"/>
              </w:rPr>
              <w:t>日</w:t>
            </w:r>
          </w:p>
        </w:tc>
        <w:tc>
          <w:tcPr>
            <w:tcW w:w="1298" w:type="dxa"/>
            <w:tcBorders>
              <w:top w:val="single" w:sz="4" w:space="0" w:color="auto"/>
              <w:left w:val="nil"/>
              <w:bottom w:val="single" w:sz="4" w:space="0" w:color="auto"/>
              <w:right w:val="single" w:sz="4" w:space="0" w:color="auto"/>
            </w:tcBorders>
            <w:shd w:val="clear" w:color="auto" w:fill="auto"/>
            <w:vAlign w:val="center"/>
          </w:tcPr>
          <w:p w14:paraId="6A3F8FA8" w14:textId="6EBD86DB"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3</w:t>
            </w:r>
            <w:r w:rsidRPr="00351E01">
              <w:rPr>
                <w:rFonts w:ascii="Calibri" w:hAnsi="Calibri" w:cs="Calibri"/>
                <w:color w:val="000000"/>
                <w:sz w:val="24"/>
                <w:szCs w:val="24"/>
              </w:rPr>
              <w:t>1.640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37701BD" w14:textId="1CEDD77E" w:rsidR="00351E01" w:rsidRPr="00351E01" w:rsidRDefault="00351E01" w:rsidP="00351E01">
            <w:pPr>
              <w:jc w:val="center"/>
              <w:rPr>
                <w:rFonts w:ascii="Calibri" w:hAnsi="Calibri"/>
                <w:color w:val="000000"/>
                <w:sz w:val="24"/>
                <w:szCs w:val="24"/>
              </w:rPr>
            </w:pPr>
            <w:r w:rsidRPr="00351E01">
              <w:rPr>
                <w:rFonts w:ascii="Calibri" w:hAnsi="Calibri" w:cs="Calibri" w:hint="eastAsia"/>
                <w:color w:val="000000"/>
                <w:sz w:val="24"/>
                <w:szCs w:val="24"/>
              </w:rPr>
              <w:t>100,000</w:t>
            </w:r>
          </w:p>
        </w:tc>
        <w:tc>
          <w:tcPr>
            <w:tcW w:w="1765" w:type="dxa"/>
            <w:tcBorders>
              <w:top w:val="nil"/>
              <w:left w:val="single" w:sz="4" w:space="0" w:color="auto"/>
              <w:bottom w:val="single" w:sz="4" w:space="0" w:color="auto"/>
              <w:right w:val="single" w:sz="4" w:space="0" w:color="auto"/>
            </w:tcBorders>
            <w:shd w:val="clear" w:color="000000" w:fill="FFFFFF"/>
            <w:vAlign w:val="center"/>
          </w:tcPr>
          <w:p w14:paraId="278A841B" w14:textId="5D03DA79" w:rsidR="00351E01" w:rsidRPr="00351E01" w:rsidRDefault="00351E01" w:rsidP="00351E01">
            <w:pPr>
              <w:jc w:val="center"/>
              <w:rPr>
                <w:rFonts w:ascii="Calibri" w:hAnsi="Calibri"/>
                <w:color w:val="000000"/>
                <w:sz w:val="24"/>
                <w:szCs w:val="24"/>
              </w:rPr>
            </w:pPr>
            <w:r w:rsidRPr="00351E01">
              <w:rPr>
                <w:rFonts w:ascii="Calibri" w:hAnsi="Calibri" w:cs="Calibri"/>
                <w:color w:val="000000"/>
                <w:sz w:val="24"/>
                <w:szCs w:val="24"/>
              </w:rPr>
              <w:t>0.0497%</w:t>
            </w:r>
          </w:p>
        </w:tc>
      </w:tr>
      <w:tr w:rsidR="00351E01" w14:paraId="238E9C7C" w14:textId="77777777" w:rsidTr="00746DFB">
        <w:trPr>
          <w:trHeight w:val="370"/>
          <w:jc w:val="center"/>
        </w:trPr>
        <w:tc>
          <w:tcPr>
            <w:tcW w:w="1115" w:type="dxa"/>
            <w:vMerge/>
            <w:tcBorders>
              <w:left w:val="single" w:sz="4" w:space="0" w:color="auto"/>
              <w:right w:val="single" w:sz="4" w:space="0" w:color="auto"/>
            </w:tcBorders>
          </w:tcPr>
          <w:p w14:paraId="3BD03A3F" w14:textId="77777777" w:rsidR="00351E01" w:rsidRDefault="00351E01" w:rsidP="00351E01">
            <w:pPr>
              <w:widowControl/>
              <w:jc w:val="left"/>
              <w:rPr>
                <w:rFonts w:ascii="Calibri" w:hAnsi="Calibri"/>
                <w:color w:val="000000"/>
                <w:kern w:val="0"/>
                <w:sz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3E575C80" w14:textId="77777777" w:rsidR="00351E01" w:rsidRDefault="00351E01" w:rsidP="00351E01">
            <w:pPr>
              <w:widowControl/>
              <w:jc w:val="left"/>
              <w:rPr>
                <w:rFonts w:ascii="Calibri" w:hAnsi="Calibri"/>
                <w:color w:val="000000"/>
                <w:kern w:val="0"/>
                <w:sz w:val="24"/>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38847DA2" w14:textId="1644AA29" w:rsidR="00351E01" w:rsidRPr="00351E01" w:rsidRDefault="00351E01" w:rsidP="00351E01">
            <w:pPr>
              <w:widowControl/>
              <w:jc w:val="center"/>
              <w:rPr>
                <w:rFonts w:ascii="Calibri" w:hAnsi="Calibri"/>
                <w:color w:val="000000"/>
                <w:kern w:val="0"/>
                <w:sz w:val="24"/>
                <w:szCs w:val="24"/>
              </w:rPr>
            </w:pPr>
            <w:r w:rsidRPr="00351E01">
              <w:rPr>
                <w:rFonts w:ascii="Calibri" w:hAnsi="Calibri" w:cs="Calibri" w:hint="eastAsia"/>
                <w:color w:val="000000"/>
                <w:sz w:val="24"/>
                <w:szCs w:val="24"/>
              </w:rPr>
              <w:t>2022</w:t>
            </w:r>
            <w:r w:rsidRPr="00351E01">
              <w:rPr>
                <w:rFonts w:ascii="Calibri" w:hAnsi="Calibri" w:cs="Calibri" w:hint="eastAsia"/>
                <w:color w:val="000000"/>
                <w:sz w:val="24"/>
                <w:szCs w:val="24"/>
              </w:rPr>
              <w:t>年</w:t>
            </w:r>
            <w:r w:rsidRPr="00351E01">
              <w:rPr>
                <w:rFonts w:ascii="Calibri" w:hAnsi="Calibri" w:cs="Calibri" w:hint="eastAsia"/>
                <w:color w:val="000000"/>
                <w:sz w:val="24"/>
                <w:szCs w:val="24"/>
              </w:rPr>
              <w:t>11</w:t>
            </w:r>
            <w:r w:rsidRPr="00351E01">
              <w:rPr>
                <w:rFonts w:ascii="Calibri" w:hAnsi="Calibri" w:cs="Calibri" w:hint="eastAsia"/>
                <w:color w:val="000000"/>
                <w:sz w:val="24"/>
                <w:szCs w:val="24"/>
              </w:rPr>
              <w:t>月</w:t>
            </w:r>
            <w:r w:rsidRPr="00351E01">
              <w:rPr>
                <w:rFonts w:ascii="Calibri" w:hAnsi="Calibri" w:cs="Calibri" w:hint="eastAsia"/>
                <w:color w:val="000000"/>
                <w:sz w:val="24"/>
                <w:szCs w:val="24"/>
              </w:rPr>
              <w:t>08</w:t>
            </w:r>
            <w:r w:rsidRPr="00351E01">
              <w:rPr>
                <w:rFonts w:ascii="Calibri" w:hAnsi="Calibri" w:cs="Calibri" w:hint="eastAsia"/>
                <w:color w:val="000000"/>
                <w:sz w:val="24"/>
                <w:szCs w:val="24"/>
              </w:rPr>
              <w:t>日</w:t>
            </w:r>
          </w:p>
        </w:tc>
        <w:tc>
          <w:tcPr>
            <w:tcW w:w="1298" w:type="dxa"/>
            <w:tcBorders>
              <w:top w:val="single" w:sz="4" w:space="0" w:color="auto"/>
              <w:left w:val="nil"/>
              <w:bottom w:val="single" w:sz="4" w:space="0" w:color="auto"/>
              <w:right w:val="single" w:sz="4" w:space="0" w:color="auto"/>
            </w:tcBorders>
            <w:shd w:val="clear" w:color="auto" w:fill="auto"/>
            <w:vAlign w:val="center"/>
          </w:tcPr>
          <w:p w14:paraId="4DD46F3E" w14:textId="43715D86" w:rsidR="00351E01" w:rsidRPr="00351E01" w:rsidRDefault="00351E01" w:rsidP="00351E01">
            <w:pPr>
              <w:jc w:val="center"/>
              <w:rPr>
                <w:rFonts w:ascii="Calibri" w:hAnsi="Calibri" w:cs="Calibri"/>
                <w:color w:val="000000"/>
                <w:sz w:val="24"/>
                <w:szCs w:val="24"/>
              </w:rPr>
            </w:pPr>
            <w:r w:rsidRPr="00351E01">
              <w:rPr>
                <w:rFonts w:ascii="Calibri" w:hAnsi="Calibri" w:cs="Calibri" w:hint="eastAsia"/>
                <w:color w:val="000000"/>
                <w:sz w:val="24"/>
                <w:szCs w:val="24"/>
              </w:rPr>
              <w:t>3</w:t>
            </w:r>
            <w:r w:rsidRPr="00351E01">
              <w:rPr>
                <w:rFonts w:ascii="Calibri" w:hAnsi="Calibri" w:cs="Calibri"/>
                <w:color w:val="000000"/>
                <w:sz w:val="24"/>
                <w:szCs w:val="24"/>
              </w:rPr>
              <w:t>1.31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9BC6A9F" w14:textId="633B6DCC" w:rsidR="00351E01" w:rsidRPr="00351E01" w:rsidRDefault="00351E01" w:rsidP="00351E01">
            <w:pPr>
              <w:jc w:val="center"/>
              <w:rPr>
                <w:rFonts w:ascii="Calibri" w:hAnsi="Calibri" w:cs="Calibri"/>
                <w:color w:val="000000"/>
                <w:sz w:val="24"/>
                <w:szCs w:val="24"/>
              </w:rPr>
            </w:pPr>
            <w:r w:rsidRPr="00351E01">
              <w:rPr>
                <w:rFonts w:ascii="Calibri" w:hAnsi="Calibri" w:cs="Calibri" w:hint="eastAsia"/>
                <w:color w:val="000000"/>
                <w:sz w:val="24"/>
                <w:szCs w:val="24"/>
              </w:rPr>
              <w:t>50,000</w:t>
            </w:r>
          </w:p>
        </w:tc>
        <w:tc>
          <w:tcPr>
            <w:tcW w:w="1765" w:type="dxa"/>
            <w:tcBorders>
              <w:top w:val="nil"/>
              <w:left w:val="single" w:sz="4" w:space="0" w:color="auto"/>
              <w:bottom w:val="single" w:sz="4" w:space="0" w:color="auto"/>
              <w:right w:val="single" w:sz="4" w:space="0" w:color="auto"/>
            </w:tcBorders>
            <w:shd w:val="clear" w:color="000000" w:fill="FFFFFF"/>
            <w:vAlign w:val="center"/>
          </w:tcPr>
          <w:p w14:paraId="7C535270" w14:textId="0828ADE2" w:rsidR="00351E01" w:rsidRPr="00351E01" w:rsidRDefault="00351E01" w:rsidP="00351E01">
            <w:pPr>
              <w:jc w:val="center"/>
              <w:rPr>
                <w:rFonts w:ascii="Calibri" w:hAnsi="Calibri" w:cs="Calibri"/>
                <w:color w:val="000000"/>
                <w:sz w:val="24"/>
                <w:szCs w:val="24"/>
              </w:rPr>
            </w:pPr>
            <w:r w:rsidRPr="00351E01">
              <w:rPr>
                <w:rFonts w:ascii="Calibri" w:hAnsi="Calibri" w:cs="Calibri"/>
                <w:color w:val="000000"/>
                <w:sz w:val="24"/>
                <w:szCs w:val="24"/>
              </w:rPr>
              <w:t>0.0249%</w:t>
            </w:r>
          </w:p>
        </w:tc>
      </w:tr>
      <w:tr w:rsidR="00351E01" w14:paraId="4CA32CD9" w14:textId="77777777" w:rsidTr="00FE47C0">
        <w:trPr>
          <w:trHeight w:val="488"/>
          <w:jc w:val="center"/>
        </w:trPr>
        <w:tc>
          <w:tcPr>
            <w:tcW w:w="1115" w:type="dxa"/>
            <w:tcBorders>
              <w:top w:val="single" w:sz="4" w:space="0" w:color="auto"/>
              <w:left w:val="single" w:sz="4" w:space="0" w:color="auto"/>
              <w:bottom w:val="single" w:sz="4" w:space="0" w:color="auto"/>
              <w:right w:val="single" w:sz="4" w:space="0" w:color="auto"/>
            </w:tcBorders>
          </w:tcPr>
          <w:p w14:paraId="10EAF7E0" w14:textId="77777777" w:rsidR="00351E01" w:rsidRDefault="00351E01" w:rsidP="00351E01">
            <w:pPr>
              <w:spacing w:beforeLines="50" w:before="156" w:line="360" w:lineRule="auto"/>
              <w:jc w:val="center"/>
              <w:rPr>
                <w:rFonts w:ascii="Calibri" w:hAnsi="Calibri"/>
                <w:color w:val="000000"/>
                <w:kern w:val="0"/>
                <w:sz w:val="24"/>
              </w:rPr>
            </w:pPr>
          </w:p>
        </w:tc>
        <w:tc>
          <w:tcPr>
            <w:tcW w:w="4842" w:type="dxa"/>
            <w:gridSpan w:val="3"/>
            <w:tcBorders>
              <w:top w:val="single" w:sz="4" w:space="0" w:color="auto"/>
              <w:left w:val="single" w:sz="4" w:space="0" w:color="auto"/>
              <w:bottom w:val="single" w:sz="4" w:space="0" w:color="auto"/>
              <w:right w:val="single" w:sz="4" w:space="0" w:color="auto"/>
            </w:tcBorders>
          </w:tcPr>
          <w:p w14:paraId="2133F4C3" w14:textId="77777777" w:rsidR="00351E01" w:rsidRDefault="00351E01" w:rsidP="00351E01">
            <w:pPr>
              <w:spacing w:beforeLines="50" w:before="156" w:line="360" w:lineRule="auto"/>
              <w:jc w:val="center"/>
              <w:rPr>
                <w:rFonts w:ascii="Calibri" w:hAnsi="Calibri"/>
                <w:color w:val="000000"/>
                <w:kern w:val="0"/>
                <w:sz w:val="24"/>
              </w:rPr>
            </w:pPr>
            <w:r>
              <w:rPr>
                <w:rFonts w:ascii="Calibri" w:hAnsi="Calibri" w:hint="eastAsia"/>
                <w:color w:val="000000"/>
                <w:kern w:val="0"/>
                <w:sz w:val="24"/>
              </w:rPr>
              <w:t>合计</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141B301" w14:textId="44722EE6" w:rsidR="00351E01" w:rsidRPr="00351E01" w:rsidRDefault="00351E01" w:rsidP="00351E01">
            <w:pPr>
              <w:widowControl/>
              <w:jc w:val="center"/>
              <w:rPr>
                <w:rFonts w:ascii="Calibri" w:hAnsi="Calibri" w:cs="Calibri"/>
                <w:color w:val="000000"/>
                <w:sz w:val="24"/>
                <w:szCs w:val="24"/>
              </w:rPr>
            </w:pPr>
            <w:r w:rsidRPr="00351E01">
              <w:rPr>
                <w:rFonts w:ascii="Calibri" w:hAnsi="Calibri" w:cs="Calibri"/>
                <w:color w:val="000000"/>
                <w:sz w:val="24"/>
                <w:szCs w:val="24"/>
              </w:rPr>
              <w:t>857,900</w:t>
            </w:r>
          </w:p>
        </w:tc>
        <w:tc>
          <w:tcPr>
            <w:tcW w:w="1765" w:type="dxa"/>
            <w:tcBorders>
              <w:top w:val="single" w:sz="4" w:space="0" w:color="auto"/>
              <w:left w:val="nil"/>
              <w:bottom w:val="single" w:sz="4" w:space="0" w:color="auto"/>
              <w:right w:val="single" w:sz="4" w:space="0" w:color="auto"/>
            </w:tcBorders>
            <w:shd w:val="clear" w:color="000000" w:fill="FFFFFF"/>
            <w:vAlign w:val="center"/>
          </w:tcPr>
          <w:p w14:paraId="307D2939" w14:textId="5F8F2119" w:rsidR="00351E01" w:rsidRPr="00351E01" w:rsidRDefault="00351E01" w:rsidP="00351E01">
            <w:pPr>
              <w:jc w:val="center"/>
              <w:rPr>
                <w:rFonts w:ascii="Calibri" w:hAnsi="Calibri" w:cs="Calibri"/>
                <w:color w:val="000000"/>
                <w:sz w:val="24"/>
                <w:szCs w:val="24"/>
              </w:rPr>
            </w:pPr>
            <w:r w:rsidRPr="00351E01">
              <w:rPr>
                <w:rFonts w:ascii="Calibri" w:hAnsi="Calibri" w:cs="Calibri" w:hint="eastAsia"/>
                <w:color w:val="000000"/>
                <w:sz w:val="24"/>
                <w:szCs w:val="24"/>
              </w:rPr>
              <w:t>0</w:t>
            </w:r>
            <w:r w:rsidRPr="00351E01">
              <w:rPr>
                <w:rFonts w:ascii="Calibri" w:hAnsi="Calibri" w:cs="Calibri"/>
                <w:color w:val="000000"/>
                <w:sz w:val="24"/>
                <w:szCs w:val="24"/>
              </w:rPr>
              <w:t>.4265</w:t>
            </w:r>
            <w:r w:rsidRPr="00351E01">
              <w:rPr>
                <w:rFonts w:ascii="Calibri" w:hAnsi="Calibri" w:cs="Calibri" w:hint="eastAsia"/>
                <w:color w:val="000000"/>
                <w:sz w:val="24"/>
                <w:szCs w:val="24"/>
              </w:rPr>
              <w:t>%</w:t>
            </w:r>
          </w:p>
        </w:tc>
      </w:tr>
    </w:tbl>
    <w:p w14:paraId="2AFC6311" w14:textId="77777777" w:rsidR="00F52C7A" w:rsidRDefault="00E564D7">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注:邹鹏先生本次集中竞价、大宗交易减持的股份来源为首次公开发行前已持有公司的股份。</w:t>
      </w:r>
    </w:p>
    <w:p w14:paraId="2F713BAC" w14:textId="77777777" w:rsidR="00F52C7A" w:rsidRDefault="00E564D7">
      <w:pPr>
        <w:spacing w:line="360" w:lineRule="auto"/>
        <w:ind w:firstLineChars="200" w:firstLine="482"/>
        <w:jc w:val="left"/>
        <w:rPr>
          <w:rFonts w:asciiTheme="minorEastAsia" w:eastAsiaTheme="minorEastAsia" w:hAnsiTheme="minorEastAsia"/>
          <w:b/>
          <w:sz w:val="24"/>
          <w:szCs w:val="23"/>
        </w:rPr>
      </w:pPr>
      <w:r>
        <w:rPr>
          <w:rFonts w:asciiTheme="minorEastAsia" w:eastAsiaTheme="minorEastAsia" w:hAnsiTheme="minorEastAsia" w:hint="eastAsia"/>
          <w:b/>
          <w:sz w:val="24"/>
          <w:szCs w:val="23"/>
        </w:rPr>
        <w:t>（二）减持前后持股情况</w:t>
      </w:r>
    </w:p>
    <w:tbl>
      <w:tblPr>
        <w:tblStyle w:val="ad"/>
        <w:tblW w:w="9073" w:type="dxa"/>
        <w:tblInd w:w="-318" w:type="dxa"/>
        <w:tblLook w:val="04A0" w:firstRow="1" w:lastRow="0" w:firstColumn="1" w:lastColumn="0" w:noHBand="0" w:noVBand="1"/>
      </w:tblPr>
      <w:tblGrid>
        <w:gridCol w:w="1337"/>
        <w:gridCol w:w="2708"/>
        <w:gridCol w:w="1316"/>
        <w:gridCol w:w="1198"/>
        <w:gridCol w:w="1414"/>
        <w:gridCol w:w="1100"/>
      </w:tblGrid>
      <w:tr w:rsidR="00E564D7" w14:paraId="6C93B47D" w14:textId="77777777" w:rsidTr="005E3F20">
        <w:trPr>
          <w:trHeight w:val="333"/>
        </w:trPr>
        <w:tc>
          <w:tcPr>
            <w:tcW w:w="1337" w:type="dxa"/>
            <w:vMerge w:val="restart"/>
            <w:vAlign w:val="center"/>
          </w:tcPr>
          <w:p w14:paraId="260B0DAD" w14:textId="77777777" w:rsidR="00E564D7" w:rsidRDefault="00E564D7" w:rsidP="00E564D7">
            <w:pPr>
              <w:pStyle w:val="Default"/>
              <w:spacing w:beforeLines="50" w:before="156"/>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lastRenderedPageBreak/>
              <w:t>股东名称</w:t>
            </w:r>
          </w:p>
        </w:tc>
        <w:tc>
          <w:tcPr>
            <w:tcW w:w="2708" w:type="dxa"/>
            <w:vMerge w:val="restart"/>
            <w:vAlign w:val="center"/>
          </w:tcPr>
          <w:p w14:paraId="111877AC" w14:textId="77777777" w:rsidR="00E564D7" w:rsidRDefault="00E564D7" w:rsidP="00E564D7">
            <w:pPr>
              <w:pStyle w:val="Default"/>
              <w:spacing w:beforeLines="50" w:before="156"/>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股份性质</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72B3C272" w14:textId="4771E9DD" w:rsidR="00E564D7" w:rsidRDefault="00E564D7" w:rsidP="00E564D7">
            <w:pPr>
              <w:pStyle w:val="Default"/>
              <w:spacing w:beforeLines="50" w:before="156"/>
              <w:jc w:val="center"/>
              <w:rPr>
                <w:rFonts w:asciiTheme="minorEastAsia" w:eastAsiaTheme="minorEastAsia" w:hAnsiTheme="minorEastAsia" w:cs="Times New Roman"/>
                <w:b/>
                <w:sz w:val="21"/>
                <w:szCs w:val="21"/>
              </w:rPr>
            </w:pPr>
            <w:r w:rsidRPr="00E564D7">
              <w:rPr>
                <w:rFonts w:asciiTheme="minorEastAsia" w:eastAsiaTheme="minorEastAsia" w:hAnsiTheme="minorEastAsia" w:cs="Times New Roman" w:hint="eastAsia"/>
                <w:b/>
                <w:sz w:val="21"/>
                <w:szCs w:val="21"/>
              </w:rPr>
              <w:t>本次减持前持有股份</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75377BC2" w14:textId="56FDFB4E" w:rsidR="00E564D7" w:rsidRDefault="00E564D7" w:rsidP="00E564D7">
            <w:pPr>
              <w:pStyle w:val="Default"/>
              <w:spacing w:beforeLines="50" w:before="156"/>
              <w:jc w:val="center"/>
              <w:rPr>
                <w:rFonts w:asciiTheme="minorEastAsia" w:eastAsiaTheme="minorEastAsia" w:hAnsiTheme="minorEastAsia" w:cs="Times New Roman"/>
                <w:b/>
                <w:sz w:val="21"/>
                <w:szCs w:val="21"/>
              </w:rPr>
            </w:pPr>
            <w:r w:rsidRPr="00E564D7">
              <w:rPr>
                <w:rFonts w:asciiTheme="minorEastAsia" w:eastAsiaTheme="minorEastAsia" w:hAnsiTheme="minorEastAsia" w:cs="Times New Roman" w:hint="eastAsia"/>
                <w:b/>
                <w:sz w:val="21"/>
                <w:szCs w:val="21"/>
              </w:rPr>
              <w:t>本次减持后持有股份</w:t>
            </w:r>
          </w:p>
        </w:tc>
      </w:tr>
      <w:tr w:rsidR="00F52C7A" w14:paraId="3F2B9A84" w14:textId="77777777" w:rsidTr="00351E01">
        <w:trPr>
          <w:trHeight w:val="694"/>
        </w:trPr>
        <w:tc>
          <w:tcPr>
            <w:tcW w:w="1337" w:type="dxa"/>
            <w:vMerge/>
            <w:vAlign w:val="center"/>
          </w:tcPr>
          <w:p w14:paraId="798018B7" w14:textId="77777777" w:rsidR="00F52C7A" w:rsidRDefault="00F52C7A">
            <w:pPr>
              <w:pStyle w:val="Default"/>
              <w:spacing w:beforeLines="50" w:before="156"/>
              <w:jc w:val="center"/>
              <w:rPr>
                <w:rFonts w:asciiTheme="minorEastAsia" w:eastAsiaTheme="minorEastAsia" w:hAnsiTheme="minorEastAsia" w:cs="Times New Roman"/>
                <w:b/>
                <w:sz w:val="21"/>
                <w:szCs w:val="21"/>
              </w:rPr>
            </w:pPr>
          </w:p>
        </w:tc>
        <w:tc>
          <w:tcPr>
            <w:tcW w:w="2708" w:type="dxa"/>
            <w:vMerge/>
            <w:vAlign w:val="center"/>
          </w:tcPr>
          <w:p w14:paraId="424127AE" w14:textId="77777777" w:rsidR="00F52C7A" w:rsidRDefault="00F52C7A">
            <w:pPr>
              <w:pStyle w:val="Default"/>
              <w:spacing w:beforeLines="50" w:before="156"/>
              <w:jc w:val="center"/>
              <w:rPr>
                <w:rFonts w:asciiTheme="minorEastAsia" w:eastAsiaTheme="minorEastAsia" w:hAnsiTheme="minorEastAsia" w:cs="Times New Roman"/>
                <w:b/>
                <w:sz w:val="21"/>
                <w:szCs w:val="21"/>
              </w:rPr>
            </w:pPr>
          </w:p>
        </w:tc>
        <w:tc>
          <w:tcPr>
            <w:tcW w:w="1316" w:type="dxa"/>
            <w:vAlign w:val="center"/>
          </w:tcPr>
          <w:p w14:paraId="589C1A26" w14:textId="77777777" w:rsidR="00F52C7A" w:rsidRDefault="00E564D7">
            <w:pPr>
              <w:pStyle w:val="Default"/>
              <w:spacing w:beforeLines="50" w:before="156"/>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持股数量（股）</w:t>
            </w:r>
          </w:p>
        </w:tc>
        <w:tc>
          <w:tcPr>
            <w:tcW w:w="1198" w:type="dxa"/>
            <w:vAlign w:val="center"/>
          </w:tcPr>
          <w:p w14:paraId="77A3F8C5" w14:textId="77777777" w:rsidR="00F52C7A" w:rsidRDefault="00E564D7">
            <w:pPr>
              <w:pStyle w:val="Default"/>
              <w:spacing w:beforeLines="50" w:before="156"/>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持股比例（%）</w:t>
            </w:r>
          </w:p>
        </w:tc>
        <w:tc>
          <w:tcPr>
            <w:tcW w:w="1414" w:type="dxa"/>
            <w:vAlign w:val="center"/>
          </w:tcPr>
          <w:p w14:paraId="688B9D04" w14:textId="77777777" w:rsidR="00F52C7A" w:rsidRDefault="00E564D7">
            <w:pPr>
              <w:pStyle w:val="Default"/>
              <w:spacing w:beforeLines="50" w:before="156"/>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持股数量（股）</w:t>
            </w:r>
          </w:p>
        </w:tc>
        <w:tc>
          <w:tcPr>
            <w:tcW w:w="1100" w:type="dxa"/>
            <w:vAlign w:val="center"/>
          </w:tcPr>
          <w:p w14:paraId="4F13A19B" w14:textId="77777777" w:rsidR="00F52C7A" w:rsidRDefault="00E564D7">
            <w:pPr>
              <w:pStyle w:val="Default"/>
              <w:spacing w:beforeLines="50" w:before="156"/>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持股比例（%）</w:t>
            </w:r>
          </w:p>
        </w:tc>
      </w:tr>
      <w:tr w:rsidR="00351E01" w14:paraId="671F095D" w14:textId="77777777" w:rsidTr="00351E01">
        <w:trPr>
          <w:trHeight w:val="604"/>
        </w:trPr>
        <w:tc>
          <w:tcPr>
            <w:tcW w:w="1337" w:type="dxa"/>
            <w:vMerge w:val="restart"/>
            <w:vAlign w:val="center"/>
          </w:tcPr>
          <w:p w14:paraId="06D38051" w14:textId="77777777" w:rsidR="00351E01" w:rsidRDefault="00351E01" w:rsidP="00351E01">
            <w:pPr>
              <w:pStyle w:val="Default"/>
              <w:spacing w:beforeLines="50" w:before="156" w:line="600" w:lineRule="auto"/>
              <w:jc w:val="center"/>
              <w:rPr>
                <w:rFonts w:ascii="Times New Roman" w:eastAsiaTheme="minorEastAsia" w:hAnsi="Times New Roman" w:cs="Times New Roman"/>
                <w:sz w:val="21"/>
                <w:szCs w:val="21"/>
              </w:rPr>
            </w:pPr>
            <w:r>
              <w:rPr>
                <w:rFonts w:eastAsiaTheme="minorEastAsia" w:hint="eastAsia"/>
                <w:sz w:val="21"/>
                <w:szCs w:val="21"/>
              </w:rPr>
              <w:t>邹鹏</w:t>
            </w:r>
          </w:p>
          <w:p w14:paraId="7AEE460A" w14:textId="77777777" w:rsidR="00351E01" w:rsidRDefault="00351E01" w:rsidP="00351E01">
            <w:pPr>
              <w:pStyle w:val="Default"/>
              <w:spacing w:beforeLines="50" w:before="156" w:line="360" w:lineRule="auto"/>
              <w:jc w:val="center"/>
              <w:rPr>
                <w:rFonts w:ascii="Times New Roman" w:eastAsiaTheme="minorEastAsia" w:hAnsi="Times New Roman" w:cs="Times New Roman"/>
                <w:b/>
                <w:sz w:val="21"/>
                <w:szCs w:val="21"/>
              </w:rPr>
            </w:pPr>
          </w:p>
        </w:tc>
        <w:tc>
          <w:tcPr>
            <w:tcW w:w="2708" w:type="dxa"/>
            <w:vAlign w:val="center"/>
          </w:tcPr>
          <w:p w14:paraId="2201EAB1" w14:textId="77777777" w:rsidR="00351E01" w:rsidRDefault="00351E01" w:rsidP="00351E01">
            <w:pPr>
              <w:pStyle w:val="Default"/>
              <w:spacing w:beforeLines="50" w:before="156" w:line="360" w:lineRule="auto"/>
              <w:jc w:val="center"/>
              <w:rPr>
                <w:rFonts w:ascii="Times New Roman" w:eastAsiaTheme="minorEastAsia" w:hAnsi="Times New Roman" w:cs="Times New Roman"/>
                <w:b/>
                <w:sz w:val="21"/>
                <w:szCs w:val="21"/>
              </w:rPr>
            </w:pPr>
            <w:r>
              <w:rPr>
                <w:rFonts w:ascii="Times New Roman" w:eastAsiaTheme="minorEastAsia" w:hAnsi="Times New Roman" w:cs="Times New Roman" w:hint="eastAsia"/>
                <w:sz w:val="21"/>
                <w:szCs w:val="21"/>
              </w:rPr>
              <w:t>合计持有股份数量</w:t>
            </w:r>
          </w:p>
        </w:tc>
        <w:tc>
          <w:tcPr>
            <w:tcW w:w="1316" w:type="dxa"/>
            <w:tcBorders>
              <w:top w:val="single" w:sz="4" w:space="0" w:color="auto"/>
              <w:left w:val="single" w:sz="4" w:space="0" w:color="auto"/>
              <w:bottom w:val="single" w:sz="4" w:space="0" w:color="auto"/>
              <w:right w:val="single" w:sz="4" w:space="0" w:color="auto"/>
            </w:tcBorders>
            <w:vAlign w:val="center"/>
          </w:tcPr>
          <w:p w14:paraId="3E9541EC" w14:textId="78618D13" w:rsidR="00351E01" w:rsidRPr="00351E01" w:rsidRDefault="00351E01" w:rsidP="00351E01">
            <w:pPr>
              <w:pStyle w:val="Default"/>
              <w:spacing w:beforeLines="50" w:before="156" w:line="360" w:lineRule="auto"/>
              <w:jc w:val="center"/>
              <w:rPr>
                <w:rFonts w:ascii="Times New Roman" w:eastAsiaTheme="minorEastAsia" w:hAnsi="Times New Roman" w:cs="Times New Roman"/>
                <w:b/>
                <w:sz w:val="22"/>
                <w:szCs w:val="22"/>
              </w:rPr>
            </w:pPr>
            <w:r w:rsidRPr="00351E01">
              <w:rPr>
                <w:rFonts w:eastAsia="等线"/>
                <w:sz w:val="22"/>
                <w:szCs w:val="22"/>
              </w:rPr>
              <w:t>15,843,445</w:t>
            </w:r>
          </w:p>
        </w:tc>
        <w:tc>
          <w:tcPr>
            <w:tcW w:w="1198" w:type="dxa"/>
            <w:tcBorders>
              <w:top w:val="single" w:sz="4" w:space="0" w:color="auto"/>
              <w:left w:val="single" w:sz="4" w:space="0" w:color="auto"/>
              <w:bottom w:val="single" w:sz="4" w:space="0" w:color="auto"/>
              <w:right w:val="single" w:sz="4" w:space="0" w:color="auto"/>
            </w:tcBorders>
            <w:vAlign w:val="center"/>
          </w:tcPr>
          <w:p w14:paraId="7F0EC85B" w14:textId="05F3108F"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eastAsia="等线"/>
                <w:sz w:val="22"/>
                <w:szCs w:val="22"/>
              </w:rPr>
              <w:t>7.88</w:t>
            </w:r>
            <w:r w:rsidRPr="00351E01">
              <w:rPr>
                <w:rFonts w:eastAsia="等线" w:hint="eastAsia"/>
                <w:sz w:val="22"/>
                <w:szCs w:val="22"/>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75295227" w14:textId="14B4E3EC"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ascii="Times New Roman" w:hAnsi="Times New Roman" w:cs="Times New Roman"/>
                <w:sz w:val="22"/>
                <w:szCs w:val="22"/>
              </w:rPr>
              <w:t>14,985</w:t>
            </w:r>
            <w:r w:rsidRPr="00351E01">
              <w:rPr>
                <w:rFonts w:ascii="Times New Roman" w:hAnsi="Times New Roman" w:cs="Times New Roman" w:hint="eastAsia"/>
                <w:sz w:val="22"/>
                <w:szCs w:val="22"/>
              </w:rPr>
              <w:t>,</w:t>
            </w:r>
            <w:r w:rsidRPr="00351E01">
              <w:rPr>
                <w:rFonts w:ascii="Times New Roman" w:hAnsi="Times New Roman" w:cs="Times New Roman"/>
                <w:sz w:val="22"/>
                <w:szCs w:val="22"/>
              </w:rPr>
              <w:t>545</w:t>
            </w:r>
          </w:p>
        </w:tc>
        <w:tc>
          <w:tcPr>
            <w:tcW w:w="1100" w:type="dxa"/>
            <w:tcBorders>
              <w:top w:val="single" w:sz="4" w:space="0" w:color="000000"/>
              <w:left w:val="single" w:sz="4" w:space="0" w:color="000000"/>
              <w:bottom w:val="single" w:sz="4" w:space="0" w:color="000000"/>
              <w:right w:val="single" w:sz="4" w:space="0" w:color="000000"/>
            </w:tcBorders>
            <w:vAlign w:val="center"/>
          </w:tcPr>
          <w:p w14:paraId="4D418F30" w14:textId="489A3232"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ascii="Times New Roman" w:hAnsi="Times New Roman" w:cs="Times New Roman"/>
                <w:sz w:val="22"/>
                <w:szCs w:val="22"/>
              </w:rPr>
              <w:t>7.45%</w:t>
            </w:r>
          </w:p>
        </w:tc>
      </w:tr>
      <w:tr w:rsidR="00351E01" w14:paraId="4782EAD9" w14:textId="77777777" w:rsidTr="00351E01">
        <w:trPr>
          <w:trHeight w:val="431"/>
        </w:trPr>
        <w:tc>
          <w:tcPr>
            <w:tcW w:w="1337" w:type="dxa"/>
            <w:vMerge/>
            <w:vAlign w:val="center"/>
          </w:tcPr>
          <w:p w14:paraId="2CB72853" w14:textId="77777777" w:rsidR="00351E01" w:rsidRDefault="00351E01" w:rsidP="00351E01">
            <w:pPr>
              <w:pStyle w:val="Default"/>
              <w:spacing w:beforeLines="50" w:before="156" w:line="360" w:lineRule="auto"/>
              <w:jc w:val="center"/>
              <w:rPr>
                <w:rFonts w:ascii="Times New Roman" w:eastAsiaTheme="minorEastAsia" w:hAnsi="Times New Roman" w:cs="Times New Roman"/>
                <w:sz w:val="21"/>
                <w:szCs w:val="21"/>
              </w:rPr>
            </w:pPr>
          </w:p>
        </w:tc>
        <w:tc>
          <w:tcPr>
            <w:tcW w:w="2708" w:type="dxa"/>
            <w:vAlign w:val="center"/>
          </w:tcPr>
          <w:p w14:paraId="0992D571" w14:textId="77777777" w:rsidR="00351E01" w:rsidRDefault="00351E01" w:rsidP="00351E01">
            <w:pPr>
              <w:pStyle w:val="Default"/>
              <w:spacing w:beforeLines="50" w:before="156"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其中：无限售条件股份数量</w:t>
            </w:r>
          </w:p>
        </w:tc>
        <w:tc>
          <w:tcPr>
            <w:tcW w:w="1316" w:type="dxa"/>
            <w:tcBorders>
              <w:top w:val="single" w:sz="4" w:space="0" w:color="auto"/>
              <w:left w:val="single" w:sz="4" w:space="0" w:color="auto"/>
              <w:bottom w:val="single" w:sz="4" w:space="0" w:color="auto"/>
              <w:right w:val="single" w:sz="4" w:space="0" w:color="auto"/>
            </w:tcBorders>
            <w:vAlign w:val="center"/>
          </w:tcPr>
          <w:p w14:paraId="611308FF" w14:textId="1B00C31C"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eastAsia="等线"/>
                <w:sz w:val="22"/>
                <w:szCs w:val="22"/>
              </w:rPr>
              <w:t>2,910,861</w:t>
            </w:r>
          </w:p>
        </w:tc>
        <w:tc>
          <w:tcPr>
            <w:tcW w:w="1198" w:type="dxa"/>
            <w:tcBorders>
              <w:top w:val="single" w:sz="4" w:space="0" w:color="auto"/>
              <w:left w:val="single" w:sz="4" w:space="0" w:color="auto"/>
              <w:bottom w:val="single" w:sz="4" w:space="0" w:color="auto"/>
              <w:right w:val="single" w:sz="4" w:space="0" w:color="auto"/>
            </w:tcBorders>
            <w:vAlign w:val="center"/>
          </w:tcPr>
          <w:p w14:paraId="324CFA46" w14:textId="33CE32DB"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eastAsia="等线"/>
                <w:sz w:val="22"/>
                <w:szCs w:val="22"/>
              </w:rPr>
              <w:t>1.45</w:t>
            </w:r>
            <w:r w:rsidRPr="00351E01">
              <w:rPr>
                <w:rFonts w:eastAsia="等线" w:hint="eastAsia"/>
                <w:sz w:val="22"/>
                <w:szCs w:val="22"/>
              </w:rPr>
              <w:t>%</w:t>
            </w:r>
          </w:p>
        </w:tc>
        <w:tc>
          <w:tcPr>
            <w:tcW w:w="1414" w:type="dxa"/>
            <w:tcBorders>
              <w:top w:val="single" w:sz="4" w:space="0" w:color="000000"/>
              <w:left w:val="single" w:sz="4" w:space="0" w:color="000000"/>
              <w:bottom w:val="single" w:sz="4" w:space="0" w:color="000000"/>
              <w:right w:val="single" w:sz="4" w:space="0" w:color="000000"/>
            </w:tcBorders>
            <w:vAlign w:val="center"/>
          </w:tcPr>
          <w:p w14:paraId="4E2A2EE3" w14:textId="76748C47"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ascii="Times New Roman" w:hAnsi="Times New Roman" w:cs="Times New Roman"/>
                <w:sz w:val="22"/>
                <w:szCs w:val="22"/>
              </w:rPr>
              <w:t>2.052,961</w:t>
            </w:r>
          </w:p>
        </w:tc>
        <w:tc>
          <w:tcPr>
            <w:tcW w:w="1100" w:type="dxa"/>
            <w:tcBorders>
              <w:top w:val="single" w:sz="4" w:space="0" w:color="000000"/>
              <w:left w:val="single" w:sz="4" w:space="0" w:color="000000"/>
              <w:bottom w:val="single" w:sz="4" w:space="0" w:color="000000"/>
              <w:right w:val="single" w:sz="4" w:space="0" w:color="000000"/>
            </w:tcBorders>
            <w:vAlign w:val="center"/>
          </w:tcPr>
          <w:p w14:paraId="4355A40A" w14:textId="7457FCB6"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ascii="Times New Roman" w:hAnsi="Times New Roman" w:cs="Times New Roman"/>
                <w:sz w:val="22"/>
                <w:szCs w:val="22"/>
              </w:rPr>
              <w:t>1.02%</w:t>
            </w:r>
          </w:p>
        </w:tc>
      </w:tr>
      <w:tr w:rsidR="00351E01" w14:paraId="79515B2B" w14:textId="77777777" w:rsidTr="00351E01">
        <w:trPr>
          <w:trHeight w:val="373"/>
        </w:trPr>
        <w:tc>
          <w:tcPr>
            <w:tcW w:w="1337" w:type="dxa"/>
            <w:vMerge/>
          </w:tcPr>
          <w:p w14:paraId="04787129" w14:textId="77777777" w:rsidR="00351E01" w:rsidRDefault="00351E01" w:rsidP="00351E01">
            <w:pPr>
              <w:pStyle w:val="Default"/>
              <w:spacing w:beforeLines="50" w:before="156" w:line="360" w:lineRule="auto"/>
              <w:jc w:val="center"/>
              <w:rPr>
                <w:rFonts w:ascii="Times New Roman" w:eastAsiaTheme="minorEastAsia" w:hAnsi="Times New Roman" w:cs="Times New Roman"/>
                <w:sz w:val="21"/>
                <w:szCs w:val="21"/>
              </w:rPr>
            </w:pPr>
          </w:p>
        </w:tc>
        <w:tc>
          <w:tcPr>
            <w:tcW w:w="2708" w:type="dxa"/>
          </w:tcPr>
          <w:p w14:paraId="1B99DBB5" w14:textId="77777777" w:rsidR="00351E01" w:rsidRDefault="00351E01" w:rsidP="00351E01">
            <w:pPr>
              <w:pStyle w:val="Default"/>
              <w:spacing w:beforeLines="50" w:before="156"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有限售条件股份数量</w:t>
            </w:r>
          </w:p>
        </w:tc>
        <w:tc>
          <w:tcPr>
            <w:tcW w:w="1316" w:type="dxa"/>
            <w:tcBorders>
              <w:top w:val="single" w:sz="4" w:space="0" w:color="auto"/>
              <w:left w:val="single" w:sz="4" w:space="0" w:color="auto"/>
              <w:bottom w:val="single" w:sz="4" w:space="0" w:color="auto"/>
              <w:right w:val="single" w:sz="4" w:space="0" w:color="auto"/>
            </w:tcBorders>
          </w:tcPr>
          <w:p w14:paraId="788E6FDD" w14:textId="42C1423F"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eastAsia="等线"/>
                <w:sz w:val="22"/>
                <w:szCs w:val="22"/>
              </w:rPr>
              <w:t>12,932,584</w:t>
            </w:r>
          </w:p>
        </w:tc>
        <w:tc>
          <w:tcPr>
            <w:tcW w:w="1198" w:type="dxa"/>
            <w:tcBorders>
              <w:top w:val="single" w:sz="4" w:space="0" w:color="auto"/>
              <w:left w:val="single" w:sz="4" w:space="0" w:color="auto"/>
              <w:bottom w:val="single" w:sz="4" w:space="0" w:color="auto"/>
              <w:right w:val="single" w:sz="4" w:space="0" w:color="auto"/>
            </w:tcBorders>
          </w:tcPr>
          <w:p w14:paraId="0B666B92" w14:textId="16D123F4"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eastAsia="等线"/>
                <w:sz w:val="22"/>
                <w:szCs w:val="22"/>
              </w:rPr>
              <w:t>6.43</w:t>
            </w:r>
            <w:r w:rsidRPr="00351E01">
              <w:rPr>
                <w:rFonts w:eastAsia="等线" w:hint="eastAsia"/>
                <w:sz w:val="22"/>
                <w:szCs w:val="22"/>
              </w:rPr>
              <w:t>%</w:t>
            </w:r>
          </w:p>
        </w:tc>
        <w:tc>
          <w:tcPr>
            <w:tcW w:w="1414" w:type="dxa"/>
            <w:tcBorders>
              <w:top w:val="single" w:sz="4" w:space="0" w:color="auto"/>
              <w:left w:val="single" w:sz="4" w:space="0" w:color="auto"/>
              <w:bottom w:val="single" w:sz="4" w:space="0" w:color="auto"/>
              <w:right w:val="single" w:sz="4" w:space="0" w:color="auto"/>
            </w:tcBorders>
          </w:tcPr>
          <w:p w14:paraId="7339844C" w14:textId="399C0543"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eastAsia="等线"/>
                <w:sz w:val="22"/>
                <w:szCs w:val="22"/>
              </w:rPr>
              <w:t>12,932,584</w:t>
            </w:r>
          </w:p>
        </w:tc>
        <w:tc>
          <w:tcPr>
            <w:tcW w:w="1100" w:type="dxa"/>
            <w:tcBorders>
              <w:top w:val="single" w:sz="4" w:space="0" w:color="auto"/>
              <w:left w:val="single" w:sz="4" w:space="0" w:color="auto"/>
              <w:bottom w:val="single" w:sz="4" w:space="0" w:color="auto"/>
              <w:right w:val="single" w:sz="4" w:space="0" w:color="auto"/>
            </w:tcBorders>
          </w:tcPr>
          <w:p w14:paraId="009543A9" w14:textId="7CCF8A01" w:rsidR="00351E01" w:rsidRPr="00351E01" w:rsidRDefault="00351E01" w:rsidP="00351E01">
            <w:pPr>
              <w:pStyle w:val="Default"/>
              <w:spacing w:beforeLines="50" w:before="156" w:line="360" w:lineRule="auto"/>
              <w:jc w:val="center"/>
              <w:rPr>
                <w:rFonts w:ascii="Times New Roman" w:eastAsiaTheme="minorEastAsia" w:hAnsi="Times New Roman" w:cs="Times New Roman"/>
                <w:sz w:val="22"/>
                <w:szCs w:val="22"/>
              </w:rPr>
            </w:pPr>
            <w:r w:rsidRPr="00351E01">
              <w:rPr>
                <w:rFonts w:eastAsia="等线"/>
                <w:sz w:val="22"/>
                <w:szCs w:val="22"/>
              </w:rPr>
              <w:t>6.43%</w:t>
            </w:r>
          </w:p>
        </w:tc>
      </w:tr>
    </w:tbl>
    <w:p w14:paraId="41238A57" w14:textId="77777777" w:rsidR="00F52C7A" w:rsidRDefault="00E564D7">
      <w:pPr>
        <w:spacing w:beforeLines="50" w:before="156" w:line="360" w:lineRule="auto"/>
        <w:ind w:firstLineChars="200" w:firstLine="482"/>
        <w:jc w:val="left"/>
        <w:rPr>
          <w:b/>
          <w:color w:val="000000"/>
          <w:kern w:val="0"/>
          <w:sz w:val="24"/>
        </w:rPr>
      </w:pPr>
      <w:r>
        <w:rPr>
          <w:rFonts w:hint="eastAsia"/>
          <w:b/>
          <w:color w:val="000000"/>
          <w:kern w:val="0"/>
          <w:sz w:val="24"/>
        </w:rPr>
        <w:t>二、其他相关说明</w:t>
      </w:r>
    </w:p>
    <w:p w14:paraId="0B7F0B71" w14:textId="77777777" w:rsidR="00F52C7A" w:rsidRDefault="00E564D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上述股份减持期间，邹鹏</w:t>
      </w:r>
      <w:r>
        <w:rPr>
          <w:rFonts w:asciiTheme="minorEastAsia" w:eastAsiaTheme="minorEastAsia" w:hAnsiTheme="minorEastAsia"/>
          <w:sz w:val="24"/>
          <w:szCs w:val="24"/>
        </w:rPr>
        <w:t>先生</w:t>
      </w:r>
      <w:r>
        <w:rPr>
          <w:rFonts w:asciiTheme="minorEastAsia" w:eastAsiaTheme="minorEastAsia" w:hAnsiTheme="minorEastAsia" w:hint="eastAsia"/>
          <w:sz w:val="24"/>
          <w:szCs w:val="24"/>
        </w:rPr>
        <w:t>严格遵守</w:t>
      </w:r>
      <w:r>
        <w:rPr>
          <w:rFonts w:asciiTheme="minorEastAsia" w:eastAsiaTheme="minorEastAsia" w:hAnsiTheme="minorEastAsia"/>
          <w:sz w:val="24"/>
          <w:szCs w:val="24"/>
        </w:rPr>
        <w:t>《证券法》、《深圳证券交易所股票上市规则》、《</w:t>
      </w:r>
      <w:r>
        <w:rPr>
          <w:rFonts w:asciiTheme="minorEastAsia" w:eastAsiaTheme="minorEastAsia" w:hAnsiTheme="minorEastAsia" w:hint="eastAsia"/>
          <w:sz w:val="24"/>
          <w:szCs w:val="24"/>
        </w:rPr>
        <w:t>深圳证券</w:t>
      </w:r>
      <w:r>
        <w:rPr>
          <w:rFonts w:asciiTheme="minorEastAsia" w:eastAsiaTheme="minorEastAsia" w:hAnsiTheme="minorEastAsia"/>
          <w:sz w:val="24"/>
          <w:szCs w:val="24"/>
        </w:rPr>
        <w:t>交易所上市公司自律监管指引第</w:t>
      </w:r>
      <w:r>
        <w:rPr>
          <w:rFonts w:asciiTheme="minorEastAsia" w:eastAsiaTheme="minorEastAsia" w:hAnsiTheme="minorEastAsia" w:hint="eastAsia"/>
          <w:sz w:val="24"/>
          <w:szCs w:val="24"/>
        </w:rPr>
        <w:t>1号</w:t>
      </w:r>
      <w:r>
        <w:rPr>
          <w:rFonts w:asciiTheme="minorEastAsia" w:eastAsiaTheme="minorEastAsia" w:hAnsiTheme="minorEastAsia"/>
          <w:sz w:val="24"/>
          <w:szCs w:val="24"/>
        </w:rPr>
        <w:t>-主板上市公司规范运作指引》、《上市公司股东、董监高减持股份的若干规定》、《深圳证券交易所上市公司股东及董事、监事、高级管理人员减持股份实施细则》等法律、法规及规范性文件</w:t>
      </w:r>
      <w:r>
        <w:rPr>
          <w:rFonts w:asciiTheme="minorEastAsia" w:eastAsiaTheme="minorEastAsia" w:hAnsiTheme="minorEastAsia" w:hint="eastAsia"/>
          <w:sz w:val="24"/>
          <w:szCs w:val="24"/>
        </w:rPr>
        <w:t>的规定</w:t>
      </w:r>
      <w:r>
        <w:rPr>
          <w:rFonts w:asciiTheme="minorEastAsia" w:eastAsiaTheme="minorEastAsia" w:hAnsiTheme="minorEastAsia"/>
          <w:sz w:val="24"/>
          <w:szCs w:val="24"/>
        </w:rPr>
        <w:t xml:space="preserve">。 </w:t>
      </w:r>
    </w:p>
    <w:p w14:paraId="23E6ADBE" w14:textId="77777777" w:rsidR="00F52C7A" w:rsidRDefault="00E564D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w:t>
      </w:r>
      <w:r>
        <w:rPr>
          <w:rFonts w:asciiTheme="minorEastAsia" w:eastAsiaTheme="minorEastAsia" w:hAnsiTheme="minorEastAsia" w:hint="eastAsia"/>
          <w:sz w:val="24"/>
          <w:szCs w:val="24"/>
        </w:rPr>
        <w:t>本次减持与此前已披露的减持计划一致，截至本公告日，实际减持股份数量未超过计划减持股份数量。邹鹏先生本次减持未违反其相关减持承诺。</w:t>
      </w:r>
    </w:p>
    <w:p w14:paraId="63A414A2" w14:textId="77777777" w:rsidR="00F52C7A" w:rsidRDefault="00E564D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3、邹鹏先生不是公司控股股东及实际控制人，</w:t>
      </w:r>
      <w:r>
        <w:rPr>
          <w:rFonts w:asciiTheme="minorEastAsia" w:eastAsiaTheme="minorEastAsia" w:hAnsiTheme="minorEastAsia"/>
          <w:sz w:val="24"/>
          <w:szCs w:val="24"/>
        </w:rPr>
        <w:t>本次减持计划的实施不会导致公司控制权</w:t>
      </w:r>
      <w:r>
        <w:rPr>
          <w:rFonts w:asciiTheme="minorEastAsia" w:eastAsiaTheme="minorEastAsia" w:hAnsiTheme="minorEastAsia" w:hint="eastAsia"/>
          <w:sz w:val="24"/>
          <w:szCs w:val="24"/>
        </w:rPr>
        <w:t>的变化</w:t>
      </w:r>
      <w:r>
        <w:rPr>
          <w:rFonts w:asciiTheme="minorEastAsia" w:eastAsiaTheme="minorEastAsia" w:hAnsiTheme="minorEastAsia"/>
          <w:sz w:val="24"/>
          <w:szCs w:val="24"/>
        </w:rPr>
        <w:t>，不会对公司治理结构及持续经营产生影响。</w:t>
      </w:r>
    </w:p>
    <w:p w14:paraId="28B8770D" w14:textId="77777777" w:rsidR="00F52C7A" w:rsidRDefault="00E564D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4、在减持计划实施期间，公司将遵守有关法律法规及公司规章制度，及时履行信息披露义务。</w:t>
      </w:r>
    </w:p>
    <w:p w14:paraId="47BBEC4A" w14:textId="77777777" w:rsidR="00F52C7A" w:rsidRDefault="00E564D7">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三、备查文件</w:t>
      </w:r>
    </w:p>
    <w:p w14:paraId="0F64A010" w14:textId="1B70FEE4" w:rsidR="00F52C7A" w:rsidRDefault="00E564D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1、邹鹏先生出具的《</w:t>
      </w:r>
      <w:r>
        <w:rPr>
          <w:rFonts w:eastAsiaTheme="minorEastAsia" w:hint="eastAsia"/>
          <w:sz w:val="24"/>
          <w:szCs w:val="23"/>
        </w:rPr>
        <w:t>关于</w:t>
      </w:r>
      <w:r w:rsidR="00F25330">
        <w:rPr>
          <w:rFonts w:eastAsiaTheme="minorEastAsia" w:hint="eastAsia"/>
          <w:sz w:val="24"/>
          <w:szCs w:val="23"/>
        </w:rPr>
        <w:t>减持公司股票计划</w:t>
      </w:r>
      <w:r w:rsidR="00351E01">
        <w:rPr>
          <w:rFonts w:eastAsiaTheme="minorEastAsia" w:hint="eastAsia"/>
          <w:sz w:val="24"/>
          <w:szCs w:val="23"/>
        </w:rPr>
        <w:t>完成</w:t>
      </w:r>
      <w:r>
        <w:rPr>
          <w:rFonts w:eastAsiaTheme="minorEastAsia"/>
          <w:sz w:val="24"/>
          <w:szCs w:val="23"/>
        </w:rPr>
        <w:t>的告知函</w:t>
      </w:r>
      <w:r>
        <w:rPr>
          <w:rFonts w:asciiTheme="minorEastAsia" w:eastAsiaTheme="minorEastAsia" w:hAnsiTheme="minorEastAsia" w:hint="eastAsia"/>
          <w:sz w:val="24"/>
          <w:szCs w:val="24"/>
        </w:rPr>
        <w:t>》。</w:t>
      </w:r>
    </w:p>
    <w:p w14:paraId="225D3CBD" w14:textId="77777777" w:rsidR="00F52C7A" w:rsidRDefault="00E564D7">
      <w:pPr>
        <w:pStyle w:val="Default"/>
        <w:spacing w:beforeLines="50" w:before="156" w:line="480" w:lineRule="exact"/>
        <w:ind w:firstLineChars="200" w:firstLine="480"/>
        <w:jc w:val="both"/>
        <w:rPr>
          <w:rFonts w:asciiTheme="minorEastAsia" w:eastAsiaTheme="minorEastAsia" w:hAnsiTheme="minorEastAsia" w:cs="Times New Roman"/>
          <w:szCs w:val="23"/>
        </w:rPr>
      </w:pPr>
      <w:r>
        <w:rPr>
          <w:rFonts w:asciiTheme="minorEastAsia" w:eastAsiaTheme="minorEastAsia" w:hAnsiTheme="minorEastAsia" w:cs="Times New Roman"/>
          <w:szCs w:val="23"/>
        </w:rPr>
        <w:t>特此公告。</w:t>
      </w:r>
    </w:p>
    <w:p w14:paraId="6DEFD79A" w14:textId="77777777" w:rsidR="00F52C7A" w:rsidRDefault="00E564D7">
      <w:pPr>
        <w:pStyle w:val="Default"/>
        <w:spacing w:line="480" w:lineRule="exact"/>
        <w:ind w:firstLineChars="200" w:firstLine="480"/>
        <w:jc w:val="right"/>
        <w:rPr>
          <w:rFonts w:asciiTheme="minorEastAsia" w:eastAsiaTheme="minorEastAsia" w:hAnsiTheme="minorEastAsia" w:cs="Times New Roman"/>
          <w:szCs w:val="23"/>
        </w:rPr>
      </w:pPr>
      <w:r>
        <w:rPr>
          <w:rFonts w:asciiTheme="minorEastAsia" w:eastAsiaTheme="minorEastAsia" w:hAnsiTheme="minorEastAsia" w:cs="Times New Roman"/>
          <w:szCs w:val="23"/>
        </w:rPr>
        <w:t>厦门万里石股份有限公司董事会</w:t>
      </w:r>
    </w:p>
    <w:p w14:paraId="252F30F3" w14:textId="49EDCAAE" w:rsidR="00F52C7A" w:rsidRDefault="00E564D7">
      <w:pPr>
        <w:pStyle w:val="Default"/>
        <w:wordWrap w:val="0"/>
        <w:spacing w:line="480" w:lineRule="exact"/>
        <w:ind w:firstLineChars="200" w:firstLine="480"/>
        <w:jc w:val="right"/>
        <w:rPr>
          <w:rFonts w:asciiTheme="minorEastAsia" w:eastAsiaTheme="minorEastAsia" w:hAnsiTheme="minorEastAsia" w:cs="Times New Roman"/>
          <w:sz w:val="28"/>
          <w:szCs w:val="23"/>
        </w:rPr>
      </w:pPr>
      <w:r>
        <w:rPr>
          <w:rFonts w:asciiTheme="minorEastAsia" w:eastAsiaTheme="minorEastAsia" w:hAnsiTheme="minorEastAsia" w:cs="Times New Roman" w:hint="eastAsia"/>
          <w:szCs w:val="23"/>
        </w:rPr>
        <w:t>202</w:t>
      </w:r>
      <w:r>
        <w:rPr>
          <w:rFonts w:asciiTheme="minorEastAsia" w:eastAsiaTheme="minorEastAsia" w:hAnsiTheme="minorEastAsia" w:cs="Times New Roman"/>
          <w:szCs w:val="23"/>
        </w:rPr>
        <w:t>2</w:t>
      </w:r>
      <w:r>
        <w:rPr>
          <w:rFonts w:asciiTheme="minorEastAsia" w:eastAsiaTheme="minorEastAsia" w:hAnsiTheme="minorEastAsia" w:cs="Times New Roman" w:hint="eastAsia"/>
          <w:szCs w:val="23"/>
        </w:rPr>
        <w:t>年</w:t>
      </w:r>
      <w:r w:rsidR="00351E01">
        <w:rPr>
          <w:rFonts w:asciiTheme="minorEastAsia" w:eastAsiaTheme="minorEastAsia" w:hAnsiTheme="minorEastAsia" w:cs="Times New Roman"/>
          <w:szCs w:val="23"/>
        </w:rPr>
        <w:t>11</w:t>
      </w:r>
      <w:r>
        <w:rPr>
          <w:rFonts w:asciiTheme="minorEastAsia" w:eastAsiaTheme="minorEastAsia" w:hAnsiTheme="minorEastAsia" w:cs="Times New Roman" w:hint="eastAsia"/>
          <w:szCs w:val="23"/>
        </w:rPr>
        <w:t>月</w:t>
      </w:r>
      <w:r w:rsidR="00351E01">
        <w:rPr>
          <w:rFonts w:asciiTheme="minorEastAsia" w:eastAsiaTheme="minorEastAsia" w:hAnsiTheme="minorEastAsia" w:cs="Times New Roman"/>
          <w:szCs w:val="23"/>
        </w:rPr>
        <w:t>23</w:t>
      </w:r>
      <w:r>
        <w:rPr>
          <w:rFonts w:asciiTheme="minorEastAsia" w:eastAsiaTheme="minorEastAsia" w:hAnsiTheme="minorEastAsia" w:cs="Times New Roman" w:hint="eastAsia"/>
          <w:szCs w:val="23"/>
        </w:rPr>
        <w:t>日</w:t>
      </w:r>
    </w:p>
    <w:sectPr w:rsidR="00F52C7A">
      <w:pgSz w:w="11906" w:h="16838"/>
      <w:pgMar w:top="1276"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D39"/>
    <w:rsid w:val="00000B01"/>
    <w:rsid w:val="00003A87"/>
    <w:rsid w:val="000079CD"/>
    <w:rsid w:val="000144E3"/>
    <w:rsid w:val="00014872"/>
    <w:rsid w:val="00022F6F"/>
    <w:rsid w:val="00030510"/>
    <w:rsid w:val="00033D25"/>
    <w:rsid w:val="00043022"/>
    <w:rsid w:val="00052079"/>
    <w:rsid w:val="0005648E"/>
    <w:rsid w:val="0006266B"/>
    <w:rsid w:val="00062ED3"/>
    <w:rsid w:val="000631C5"/>
    <w:rsid w:val="00070514"/>
    <w:rsid w:val="00073D29"/>
    <w:rsid w:val="00090BA8"/>
    <w:rsid w:val="0009390E"/>
    <w:rsid w:val="00094AE0"/>
    <w:rsid w:val="00097A0E"/>
    <w:rsid w:val="000A1F0C"/>
    <w:rsid w:val="000A3B34"/>
    <w:rsid w:val="000A573F"/>
    <w:rsid w:val="000A5FC0"/>
    <w:rsid w:val="000A6DBA"/>
    <w:rsid w:val="000B07F6"/>
    <w:rsid w:val="000B17DF"/>
    <w:rsid w:val="000B54FC"/>
    <w:rsid w:val="000B577C"/>
    <w:rsid w:val="000B7304"/>
    <w:rsid w:val="000C0041"/>
    <w:rsid w:val="000C18EA"/>
    <w:rsid w:val="000C2CE9"/>
    <w:rsid w:val="000C5BB8"/>
    <w:rsid w:val="000C733A"/>
    <w:rsid w:val="000D198C"/>
    <w:rsid w:val="000D5FF9"/>
    <w:rsid w:val="000D6DE8"/>
    <w:rsid w:val="000F06EE"/>
    <w:rsid w:val="000F11B5"/>
    <w:rsid w:val="00102D9B"/>
    <w:rsid w:val="001033A2"/>
    <w:rsid w:val="001115E1"/>
    <w:rsid w:val="00112714"/>
    <w:rsid w:val="00113DC2"/>
    <w:rsid w:val="0011505E"/>
    <w:rsid w:val="00123FDB"/>
    <w:rsid w:val="001315BF"/>
    <w:rsid w:val="00132B81"/>
    <w:rsid w:val="00133040"/>
    <w:rsid w:val="001378EF"/>
    <w:rsid w:val="00140078"/>
    <w:rsid w:val="00140673"/>
    <w:rsid w:val="00150AF5"/>
    <w:rsid w:val="00151205"/>
    <w:rsid w:val="001547E2"/>
    <w:rsid w:val="0015651A"/>
    <w:rsid w:val="00156D0C"/>
    <w:rsid w:val="001616B6"/>
    <w:rsid w:val="00161C78"/>
    <w:rsid w:val="00173B9C"/>
    <w:rsid w:val="00174E8A"/>
    <w:rsid w:val="0017576E"/>
    <w:rsid w:val="00175832"/>
    <w:rsid w:val="00175FF7"/>
    <w:rsid w:val="0018149A"/>
    <w:rsid w:val="001820BF"/>
    <w:rsid w:val="00186044"/>
    <w:rsid w:val="00186747"/>
    <w:rsid w:val="001877C4"/>
    <w:rsid w:val="00190426"/>
    <w:rsid w:val="00194BD5"/>
    <w:rsid w:val="0019764D"/>
    <w:rsid w:val="001A015B"/>
    <w:rsid w:val="001A06D5"/>
    <w:rsid w:val="001A3C3C"/>
    <w:rsid w:val="001B45AC"/>
    <w:rsid w:val="001D3837"/>
    <w:rsid w:val="001D6398"/>
    <w:rsid w:val="001D7BB4"/>
    <w:rsid w:val="001E117A"/>
    <w:rsid w:val="001F0349"/>
    <w:rsid w:val="001F6806"/>
    <w:rsid w:val="00201C9F"/>
    <w:rsid w:val="00201D97"/>
    <w:rsid w:val="00210C21"/>
    <w:rsid w:val="00210FEB"/>
    <w:rsid w:val="00215C01"/>
    <w:rsid w:val="0021760A"/>
    <w:rsid w:val="002176D4"/>
    <w:rsid w:val="00217E60"/>
    <w:rsid w:val="00217ED6"/>
    <w:rsid w:val="00224108"/>
    <w:rsid w:val="00226D88"/>
    <w:rsid w:val="0022714F"/>
    <w:rsid w:val="00231E13"/>
    <w:rsid w:val="00236DFD"/>
    <w:rsid w:val="00243CDD"/>
    <w:rsid w:val="00245794"/>
    <w:rsid w:val="00250C21"/>
    <w:rsid w:val="00253B00"/>
    <w:rsid w:val="002541B0"/>
    <w:rsid w:val="00254450"/>
    <w:rsid w:val="00261A6F"/>
    <w:rsid w:val="002632F6"/>
    <w:rsid w:val="0026369B"/>
    <w:rsid w:val="002642FF"/>
    <w:rsid w:val="002700E9"/>
    <w:rsid w:val="00272D3E"/>
    <w:rsid w:val="00274EEA"/>
    <w:rsid w:val="002824FD"/>
    <w:rsid w:val="002871DB"/>
    <w:rsid w:val="002925CE"/>
    <w:rsid w:val="00297651"/>
    <w:rsid w:val="002A075C"/>
    <w:rsid w:val="002A177E"/>
    <w:rsid w:val="002A1CA0"/>
    <w:rsid w:val="002A63FB"/>
    <w:rsid w:val="002A7E19"/>
    <w:rsid w:val="002B068E"/>
    <w:rsid w:val="002B66CE"/>
    <w:rsid w:val="002B6891"/>
    <w:rsid w:val="002C0891"/>
    <w:rsid w:val="002C19FD"/>
    <w:rsid w:val="002D4F41"/>
    <w:rsid w:val="002E556D"/>
    <w:rsid w:val="002F4601"/>
    <w:rsid w:val="002F5407"/>
    <w:rsid w:val="00301169"/>
    <w:rsid w:val="0030269F"/>
    <w:rsid w:val="00304E0A"/>
    <w:rsid w:val="00315B0F"/>
    <w:rsid w:val="00317A43"/>
    <w:rsid w:val="00321A3B"/>
    <w:rsid w:val="00325368"/>
    <w:rsid w:val="003264C3"/>
    <w:rsid w:val="0032685E"/>
    <w:rsid w:val="00327505"/>
    <w:rsid w:val="00331C15"/>
    <w:rsid w:val="0033310D"/>
    <w:rsid w:val="00335B09"/>
    <w:rsid w:val="003362DA"/>
    <w:rsid w:val="00340315"/>
    <w:rsid w:val="00342205"/>
    <w:rsid w:val="00344FC4"/>
    <w:rsid w:val="00351E01"/>
    <w:rsid w:val="003531AF"/>
    <w:rsid w:val="00363C8B"/>
    <w:rsid w:val="00370125"/>
    <w:rsid w:val="00373E3E"/>
    <w:rsid w:val="00374BC5"/>
    <w:rsid w:val="00381EF0"/>
    <w:rsid w:val="00383D91"/>
    <w:rsid w:val="00384A6F"/>
    <w:rsid w:val="00385D40"/>
    <w:rsid w:val="0038730F"/>
    <w:rsid w:val="00390155"/>
    <w:rsid w:val="00391E0B"/>
    <w:rsid w:val="00394907"/>
    <w:rsid w:val="00395F68"/>
    <w:rsid w:val="003A3B2F"/>
    <w:rsid w:val="003A44A4"/>
    <w:rsid w:val="003A4DBB"/>
    <w:rsid w:val="003B08DD"/>
    <w:rsid w:val="003B3B61"/>
    <w:rsid w:val="003B492C"/>
    <w:rsid w:val="003B7059"/>
    <w:rsid w:val="003C1DC7"/>
    <w:rsid w:val="003D6664"/>
    <w:rsid w:val="003E3461"/>
    <w:rsid w:val="003E42E5"/>
    <w:rsid w:val="003E6968"/>
    <w:rsid w:val="003F0930"/>
    <w:rsid w:val="003F38BF"/>
    <w:rsid w:val="00402CC0"/>
    <w:rsid w:val="00406B43"/>
    <w:rsid w:val="00413F8D"/>
    <w:rsid w:val="004152E6"/>
    <w:rsid w:val="00422F78"/>
    <w:rsid w:val="00427AFD"/>
    <w:rsid w:val="00432731"/>
    <w:rsid w:val="0043343A"/>
    <w:rsid w:val="00434FD7"/>
    <w:rsid w:val="00435033"/>
    <w:rsid w:val="004367BC"/>
    <w:rsid w:val="00440503"/>
    <w:rsid w:val="00453F30"/>
    <w:rsid w:val="00455346"/>
    <w:rsid w:val="004557CD"/>
    <w:rsid w:val="00461FE0"/>
    <w:rsid w:val="00466024"/>
    <w:rsid w:val="00470F0B"/>
    <w:rsid w:val="00472749"/>
    <w:rsid w:val="0048454E"/>
    <w:rsid w:val="0049059B"/>
    <w:rsid w:val="00492D13"/>
    <w:rsid w:val="004A3D6D"/>
    <w:rsid w:val="004A3F8C"/>
    <w:rsid w:val="004A491F"/>
    <w:rsid w:val="004A7AE2"/>
    <w:rsid w:val="004B110B"/>
    <w:rsid w:val="004B37B7"/>
    <w:rsid w:val="004C393E"/>
    <w:rsid w:val="004C440D"/>
    <w:rsid w:val="004D01A3"/>
    <w:rsid w:val="004D3298"/>
    <w:rsid w:val="004E07DE"/>
    <w:rsid w:val="004E0E64"/>
    <w:rsid w:val="004F4E0E"/>
    <w:rsid w:val="004F76BF"/>
    <w:rsid w:val="005006AA"/>
    <w:rsid w:val="00501E84"/>
    <w:rsid w:val="00506E43"/>
    <w:rsid w:val="00513EA9"/>
    <w:rsid w:val="00514E03"/>
    <w:rsid w:val="0051599C"/>
    <w:rsid w:val="005163C7"/>
    <w:rsid w:val="00524442"/>
    <w:rsid w:val="005301FA"/>
    <w:rsid w:val="005453A7"/>
    <w:rsid w:val="0055143E"/>
    <w:rsid w:val="00551C9B"/>
    <w:rsid w:val="00561140"/>
    <w:rsid w:val="00566582"/>
    <w:rsid w:val="005748D0"/>
    <w:rsid w:val="0058057C"/>
    <w:rsid w:val="00580B00"/>
    <w:rsid w:val="00582D72"/>
    <w:rsid w:val="00583590"/>
    <w:rsid w:val="0059554B"/>
    <w:rsid w:val="00596D2E"/>
    <w:rsid w:val="005A28AC"/>
    <w:rsid w:val="005A2F01"/>
    <w:rsid w:val="005A5FCC"/>
    <w:rsid w:val="005C028B"/>
    <w:rsid w:val="005C02DE"/>
    <w:rsid w:val="005C32E0"/>
    <w:rsid w:val="005C4112"/>
    <w:rsid w:val="005D35FE"/>
    <w:rsid w:val="005F5964"/>
    <w:rsid w:val="005F7A76"/>
    <w:rsid w:val="00604477"/>
    <w:rsid w:val="00611C3D"/>
    <w:rsid w:val="00612087"/>
    <w:rsid w:val="00614176"/>
    <w:rsid w:val="00615221"/>
    <w:rsid w:val="00615982"/>
    <w:rsid w:val="006174B9"/>
    <w:rsid w:val="0062068E"/>
    <w:rsid w:val="00620EE9"/>
    <w:rsid w:val="006233C2"/>
    <w:rsid w:val="00623608"/>
    <w:rsid w:val="0062429D"/>
    <w:rsid w:val="00625B66"/>
    <w:rsid w:val="00627E21"/>
    <w:rsid w:val="00631953"/>
    <w:rsid w:val="006363B5"/>
    <w:rsid w:val="0064215B"/>
    <w:rsid w:val="00642743"/>
    <w:rsid w:val="00642A50"/>
    <w:rsid w:val="006433BE"/>
    <w:rsid w:val="006435B2"/>
    <w:rsid w:val="006452F0"/>
    <w:rsid w:val="0064669C"/>
    <w:rsid w:val="00647946"/>
    <w:rsid w:val="006515F8"/>
    <w:rsid w:val="00655C63"/>
    <w:rsid w:val="0066160B"/>
    <w:rsid w:val="006625B0"/>
    <w:rsid w:val="0066356A"/>
    <w:rsid w:val="00663619"/>
    <w:rsid w:val="0066426C"/>
    <w:rsid w:val="0066450D"/>
    <w:rsid w:val="00670A7A"/>
    <w:rsid w:val="006723E4"/>
    <w:rsid w:val="006827BD"/>
    <w:rsid w:val="00690280"/>
    <w:rsid w:val="00694CD0"/>
    <w:rsid w:val="006A38C3"/>
    <w:rsid w:val="006C397F"/>
    <w:rsid w:val="006C43AF"/>
    <w:rsid w:val="006D6356"/>
    <w:rsid w:val="006E4272"/>
    <w:rsid w:val="006F303A"/>
    <w:rsid w:val="006F5A38"/>
    <w:rsid w:val="006F6327"/>
    <w:rsid w:val="00700881"/>
    <w:rsid w:val="00702322"/>
    <w:rsid w:val="007067D3"/>
    <w:rsid w:val="00712DC0"/>
    <w:rsid w:val="0071416C"/>
    <w:rsid w:val="00717D6C"/>
    <w:rsid w:val="00721B03"/>
    <w:rsid w:val="00722EE2"/>
    <w:rsid w:val="00724051"/>
    <w:rsid w:val="00733156"/>
    <w:rsid w:val="00751DD6"/>
    <w:rsid w:val="00752BB2"/>
    <w:rsid w:val="00757E65"/>
    <w:rsid w:val="00762250"/>
    <w:rsid w:val="007631D6"/>
    <w:rsid w:val="00763E58"/>
    <w:rsid w:val="00764BA6"/>
    <w:rsid w:val="00767556"/>
    <w:rsid w:val="00771834"/>
    <w:rsid w:val="0077572D"/>
    <w:rsid w:val="00776C44"/>
    <w:rsid w:val="0077749E"/>
    <w:rsid w:val="00783ED7"/>
    <w:rsid w:val="00785588"/>
    <w:rsid w:val="00787AD3"/>
    <w:rsid w:val="00790892"/>
    <w:rsid w:val="00797B3F"/>
    <w:rsid w:val="007A64FC"/>
    <w:rsid w:val="007B3E21"/>
    <w:rsid w:val="007C0134"/>
    <w:rsid w:val="007C0AC8"/>
    <w:rsid w:val="007C4E25"/>
    <w:rsid w:val="007C68AB"/>
    <w:rsid w:val="007D0A36"/>
    <w:rsid w:val="007D1649"/>
    <w:rsid w:val="007D4720"/>
    <w:rsid w:val="007D558D"/>
    <w:rsid w:val="007E0D62"/>
    <w:rsid w:val="007E3127"/>
    <w:rsid w:val="007E3255"/>
    <w:rsid w:val="007E6DD3"/>
    <w:rsid w:val="007F384C"/>
    <w:rsid w:val="00804B43"/>
    <w:rsid w:val="008052F1"/>
    <w:rsid w:val="00805507"/>
    <w:rsid w:val="00821B6B"/>
    <w:rsid w:val="008266CD"/>
    <w:rsid w:val="008333F9"/>
    <w:rsid w:val="00834F44"/>
    <w:rsid w:val="00836863"/>
    <w:rsid w:val="00845960"/>
    <w:rsid w:val="0085093D"/>
    <w:rsid w:val="008614F3"/>
    <w:rsid w:val="0087145F"/>
    <w:rsid w:val="008746EC"/>
    <w:rsid w:val="00877E6A"/>
    <w:rsid w:val="00886C2A"/>
    <w:rsid w:val="00891AD3"/>
    <w:rsid w:val="00897D84"/>
    <w:rsid w:val="008A10D1"/>
    <w:rsid w:val="008B2571"/>
    <w:rsid w:val="008B43AC"/>
    <w:rsid w:val="008C3C93"/>
    <w:rsid w:val="008C549C"/>
    <w:rsid w:val="008D76C9"/>
    <w:rsid w:val="008E3821"/>
    <w:rsid w:val="008E51B8"/>
    <w:rsid w:val="008F068F"/>
    <w:rsid w:val="008F17A8"/>
    <w:rsid w:val="008F4D38"/>
    <w:rsid w:val="009016D0"/>
    <w:rsid w:val="009047F7"/>
    <w:rsid w:val="009057B8"/>
    <w:rsid w:val="009123D9"/>
    <w:rsid w:val="00912C7C"/>
    <w:rsid w:val="009228E3"/>
    <w:rsid w:val="00926348"/>
    <w:rsid w:val="00942F10"/>
    <w:rsid w:val="00945007"/>
    <w:rsid w:val="00946AE9"/>
    <w:rsid w:val="00950599"/>
    <w:rsid w:val="00951F6A"/>
    <w:rsid w:val="00953A50"/>
    <w:rsid w:val="00957B97"/>
    <w:rsid w:val="009603D7"/>
    <w:rsid w:val="0096205A"/>
    <w:rsid w:val="009674CC"/>
    <w:rsid w:val="009802CA"/>
    <w:rsid w:val="009813A8"/>
    <w:rsid w:val="00983602"/>
    <w:rsid w:val="00984FD1"/>
    <w:rsid w:val="00986BE0"/>
    <w:rsid w:val="00995D98"/>
    <w:rsid w:val="009975C3"/>
    <w:rsid w:val="009A27B1"/>
    <w:rsid w:val="009A3672"/>
    <w:rsid w:val="009A3E57"/>
    <w:rsid w:val="009A64AD"/>
    <w:rsid w:val="009C2A08"/>
    <w:rsid w:val="009C6BD0"/>
    <w:rsid w:val="009D1349"/>
    <w:rsid w:val="009D6C35"/>
    <w:rsid w:val="009D6D73"/>
    <w:rsid w:val="009D7DC4"/>
    <w:rsid w:val="009E1E66"/>
    <w:rsid w:val="009F08E7"/>
    <w:rsid w:val="009F65BE"/>
    <w:rsid w:val="00A04819"/>
    <w:rsid w:val="00A140E7"/>
    <w:rsid w:val="00A1697C"/>
    <w:rsid w:val="00A20A86"/>
    <w:rsid w:val="00A245DF"/>
    <w:rsid w:val="00A31A75"/>
    <w:rsid w:val="00A324BA"/>
    <w:rsid w:val="00A33C37"/>
    <w:rsid w:val="00A41F21"/>
    <w:rsid w:val="00A45985"/>
    <w:rsid w:val="00A46F18"/>
    <w:rsid w:val="00A55D23"/>
    <w:rsid w:val="00A62D54"/>
    <w:rsid w:val="00A66A37"/>
    <w:rsid w:val="00A67DA4"/>
    <w:rsid w:val="00A70506"/>
    <w:rsid w:val="00A7780C"/>
    <w:rsid w:val="00A80B48"/>
    <w:rsid w:val="00A82956"/>
    <w:rsid w:val="00A84D04"/>
    <w:rsid w:val="00A85733"/>
    <w:rsid w:val="00A919CC"/>
    <w:rsid w:val="00A94238"/>
    <w:rsid w:val="00A957F1"/>
    <w:rsid w:val="00AA0489"/>
    <w:rsid w:val="00AA28EA"/>
    <w:rsid w:val="00AB1B78"/>
    <w:rsid w:val="00AB6FB1"/>
    <w:rsid w:val="00AC3C36"/>
    <w:rsid w:val="00AC6017"/>
    <w:rsid w:val="00AC7B19"/>
    <w:rsid w:val="00AC7F9D"/>
    <w:rsid w:val="00AD1983"/>
    <w:rsid w:val="00AD232C"/>
    <w:rsid w:val="00AD2816"/>
    <w:rsid w:val="00AD3A5E"/>
    <w:rsid w:val="00AD489C"/>
    <w:rsid w:val="00AE4DA3"/>
    <w:rsid w:val="00AF1CEE"/>
    <w:rsid w:val="00B018DD"/>
    <w:rsid w:val="00B01FCE"/>
    <w:rsid w:val="00B10044"/>
    <w:rsid w:val="00B10EB2"/>
    <w:rsid w:val="00B131F1"/>
    <w:rsid w:val="00B142F9"/>
    <w:rsid w:val="00B213D9"/>
    <w:rsid w:val="00B2305D"/>
    <w:rsid w:val="00B25CEF"/>
    <w:rsid w:val="00B26318"/>
    <w:rsid w:val="00B35BB5"/>
    <w:rsid w:val="00B36399"/>
    <w:rsid w:val="00B37A30"/>
    <w:rsid w:val="00B4679A"/>
    <w:rsid w:val="00B47DDE"/>
    <w:rsid w:val="00B51F3E"/>
    <w:rsid w:val="00B527FD"/>
    <w:rsid w:val="00B54115"/>
    <w:rsid w:val="00B57F06"/>
    <w:rsid w:val="00B7416A"/>
    <w:rsid w:val="00B754B5"/>
    <w:rsid w:val="00B8499F"/>
    <w:rsid w:val="00B86F73"/>
    <w:rsid w:val="00B91464"/>
    <w:rsid w:val="00B91DA4"/>
    <w:rsid w:val="00B924F7"/>
    <w:rsid w:val="00B9502F"/>
    <w:rsid w:val="00B95C99"/>
    <w:rsid w:val="00BA1747"/>
    <w:rsid w:val="00BA3FC8"/>
    <w:rsid w:val="00BA7C70"/>
    <w:rsid w:val="00BB2DFF"/>
    <w:rsid w:val="00BB39A6"/>
    <w:rsid w:val="00BB46D7"/>
    <w:rsid w:val="00BC32F7"/>
    <w:rsid w:val="00BC4959"/>
    <w:rsid w:val="00BC6657"/>
    <w:rsid w:val="00BD15D5"/>
    <w:rsid w:val="00BE22F8"/>
    <w:rsid w:val="00BE3FBF"/>
    <w:rsid w:val="00BE6717"/>
    <w:rsid w:val="00C01CF2"/>
    <w:rsid w:val="00C03529"/>
    <w:rsid w:val="00C040FA"/>
    <w:rsid w:val="00C0785B"/>
    <w:rsid w:val="00C111A8"/>
    <w:rsid w:val="00C12915"/>
    <w:rsid w:val="00C21906"/>
    <w:rsid w:val="00C21C57"/>
    <w:rsid w:val="00C26C6A"/>
    <w:rsid w:val="00C26D22"/>
    <w:rsid w:val="00C35131"/>
    <w:rsid w:val="00C5226B"/>
    <w:rsid w:val="00C537F8"/>
    <w:rsid w:val="00C54801"/>
    <w:rsid w:val="00C56226"/>
    <w:rsid w:val="00C65864"/>
    <w:rsid w:val="00C677D4"/>
    <w:rsid w:val="00C737EF"/>
    <w:rsid w:val="00C801BE"/>
    <w:rsid w:val="00C806EF"/>
    <w:rsid w:val="00C83F51"/>
    <w:rsid w:val="00C92922"/>
    <w:rsid w:val="00CA52E4"/>
    <w:rsid w:val="00CA5414"/>
    <w:rsid w:val="00CB0D39"/>
    <w:rsid w:val="00CB0E08"/>
    <w:rsid w:val="00CB238F"/>
    <w:rsid w:val="00CB2A59"/>
    <w:rsid w:val="00CB4DA1"/>
    <w:rsid w:val="00CE03B4"/>
    <w:rsid w:val="00CE1233"/>
    <w:rsid w:val="00CF0C0C"/>
    <w:rsid w:val="00CF5AC5"/>
    <w:rsid w:val="00D0217B"/>
    <w:rsid w:val="00D029C5"/>
    <w:rsid w:val="00D03486"/>
    <w:rsid w:val="00D03BD0"/>
    <w:rsid w:val="00D10B53"/>
    <w:rsid w:val="00D24747"/>
    <w:rsid w:val="00D260FE"/>
    <w:rsid w:val="00D264C0"/>
    <w:rsid w:val="00D27425"/>
    <w:rsid w:val="00D366A4"/>
    <w:rsid w:val="00D3697B"/>
    <w:rsid w:val="00D406B0"/>
    <w:rsid w:val="00D44DFD"/>
    <w:rsid w:val="00D6046C"/>
    <w:rsid w:val="00D64583"/>
    <w:rsid w:val="00D75A56"/>
    <w:rsid w:val="00D81F64"/>
    <w:rsid w:val="00D829DF"/>
    <w:rsid w:val="00D851DA"/>
    <w:rsid w:val="00D9017E"/>
    <w:rsid w:val="00DA0BD2"/>
    <w:rsid w:val="00DA250D"/>
    <w:rsid w:val="00DA585D"/>
    <w:rsid w:val="00DA6556"/>
    <w:rsid w:val="00DA7E20"/>
    <w:rsid w:val="00DB37E0"/>
    <w:rsid w:val="00DB6042"/>
    <w:rsid w:val="00DB78B3"/>
    <w:rsid w:val="00DC16D3"/>
    <w:rsid w:val="00DC4A14"/>
    <w:rsid w:val="00DD0A49"/>
    <w:rsid w:val="00DD0B61"/>
    <w:rsid w:val="00DE54BB"/>
    <w:rsid w:val="00DE6A44"/>
    <w:rsid w:val="00DE6C3B"/>
    <w:rsid w:val="00DF5856"/>
    <w:rsid w:val="00DF6424"/>
    <w:rsid w:val="00E032FE"/>
    <w:rsid w:val="00E0512E"/>
    <w:rsid w:val="00E05967"/>
    <w:rsid w:val="00E13076"/>
    <w:rsid w:val="00E132C0"/>
    <w:rsid w:val="00E14CBE"/>
    <w:rsid w:val="00E15BE8"/>
    <w:rsid w:val="00E16FA9"/>
    <w:rsid w:val="00E23626"/>
    <w:rsid w:val="00E2594A"/>
    <w:rsid w:val="00E26414"/>
    <w:rsid w:val="00E31B7E"/>
    <w:rsid w:val="00E34974"/>
    <w:rsid w:val="00E43CB1"/>
    <w:rsid w:val="00E51AA4"/>
    <w:rsid w:val="00E55434"/>
    <w:rsid w:val="00E564D7"/>
    <w:rsid w:val="00E57CCB"/>
    <w:rsid w:val="00E71E37"/>
    <w:rsid w:val="00E748E8"/>
    <w:rsid w:val="00E7559A"/>
    <w:rsid w:val="00E75936"/>
    <w:rsid w:val="00E813A2"/>
    <w:rsid w:val="00E83866"/>
    <w:rsid w:val="00E83CDC"/>
    <w:rsid w:val="00E84594"/>
    <w:rsid w:val="00E92DD5"/>
    <w:rsid w:val="00E94E79"/>
    <w:rsid w:val="00EA0533"/>
    <w:rsid w:val="00EB19A9"/>
    <w:rsid w:val="00EC2D0C"/>
    <w:rsid w:val="00EC4524"/>
    <w:rsid w:val="00EC4D80"/>
    <w:rsid w:val="00EC7D22"/>
    <w:rsid w:val="00ED0527"/>
    <w:rsid w:val="00ED1491"/>
    <w:rsid w:val="00ED1796"/>
    <w:rsid w:val="00ED339D"/>
    <w:rsid w:val="00ED6589"/>
    <w:rsid w:val="00EE5C6D"/>
    <w:rsid w:val="00EF0586"/>
    <w:rsid w:val="00EF096F"/>
    <w:rsid w:val="00EF0BA2"/>
    <w:rsid w:val="00EF34A9"/>
    <w:rsid w:val="00F10394"/>
    <w:rsid w:val="00F115B1"/>
    <w:rsid w:val="00F1190B"/>
    <w:rsid w:val="00F17814"/>
    <w:rsid w:val="00F25330"/>
    <w:rsid w:val="00F301DB"/>
    <w:rsid w:val="00F3069C"/>
    <w:rsid w:val="00F317A9"/>
    <w:rsid w:val="00F33ABA"/>
    <w:rsid w:val="00F412D8"/>
    <w:rsid w:val="00F420CA"/>
    <w:rsid w:val="00F432C3"/>
    <w:rsid w:val="00F43711"/>
    <w:rsid w:val="00F46E79"/>
    <w:rsid w:val="00F52C7A"/>
    <w:rsid w:val="00F6054D"/>
    <w:rsid w:val="00F61E61"/>
    <w:rsid w:val="00F7233E"/>
    <w:rsid w:val="00F72B48"/>
    <w:rsid w:val="00F83B67"/>
    <w:rsid w:val="00F84D49"/>
    <w:rsid w:val="00F876D6"/>
    <w:rsid w:val="00F91125"/>
    <w:rsid w:val="00FB00E0"/>
    <w:rsid w:val="00FB2AF8"/>
    <w:rsid w:val="00FB3361"/>
    <w:rsid w:val="00FC21C0"/>
    <w:rsid w:val="00FC4008"/>
    <w:rsid w:val="00FD0C52"/>
    <w:rsid w:val="00FD2128"/>
    <w:rsid w:val="00FD4EC0"/>
    <w:rsid w:val="00FF5FEF"/>
    <w:rsid w:val="05DD246D"/>
    <w:rsid w:val="275A34C6"/>
    <w:rsid w:val="2C5F332D"/>
    <w:rsid w:val="3813191C"/>
    <w:rsid w:val="48D6451F"/>
    <w:rsid w:val="4E4D7031"/>
    <w:rsid w:val="64372143"/>
    <w:rsid w:val="711C295F"/>
    <w:rsid w:val="7F914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6CF5"/>
  <w15:docId w15:val="{E8BDEBB8-6758-4456-B107-57A831D5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paragraph" w:customStyle="1" w:styleId="KWBodytext">
    <w:name w:val="K&amp;W Body text"/>
    <w:basedOn w:val="a"/>
    <w:qFormat/>
    <w:pPr>
      <w:widowControl/>
      <w:spacing w:after="280" w:line="240" w:lineRule="atLeast"/>
    </w:pPr>
    <w:rPr>
      <w:rFonts w:ascii="Arial" w:eastAsia="楷体_GB2312" w:hAnsi="Arial"/>
      <w:kern w:val="0"/>
      <w:sz w:val="20"/>
      <w:lang w:eastAsia="en-US"/>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paragraph" w:customStyle="1" w:styleId="1">
    <w:name w:val="修订1"/>
    <w:hidden/>
    <w:uiPriority w:val="99"/>
    <w:semiHidden/>
    <w:qFormat/>
    <w:rPr>
      <w:rFonts w:ascii="Times New Roman" w:eastAsia="宋体" w:hAnsi="Times New Roman" w:cs="Times New Roman"/>
      <w:kern w:val="2"/>
      <w:sz w:val="21"/>
    </w:rPr>
  </w:style>
  <w:style w:type="paragraph" w:styleId="af">
    <w:name w:val="List Paragraph"/>
    <w:basedOn w:val="a"/>
    <w:uiPriority w:val="34"/>
    <w:qFormat/>
    <w:pPr>
      <w:ind w:firstLineChars="200" w:firstLine="420"/>
    </w:p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05CF3-BFB1-4C0A-B56E-EB8B0289867C}">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219</Words>
  <Characters>1250</Characters>
  <Application>Microsoft Office Word</Application>
  <DocSecurity>0</DocSecurity>
  <Lines>10</Lines>
  <Paragraphs>2</Paragraphs>
  <ScaleCrop>false</ScaleCrop>
  <Company>Queen</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40</cp:revision>
  <cp:lastPrinted>2019-06-24T06:17:00Z</cp:lastPrinted>
  <dcterms:created xsi:type="dcterms:W3CDTF">2018-08-03T07:49:00Z</dcterms:created>
  <dcterms:modified xsi:type="dcterms:W3CDTF">2022-11-22T08:48:00Z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577E483D6C85458F8F889BA06D3A1D8C</vt:lpwstr>
  </property>
</Properties>
</file>