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5579" w14:textId="5D0A2A50" w:rsidR="001B5F45" w:rsidRDefault="001B5F45" w:rsidP="001B5F45">
      <w:pPr>
        <w:spacing w:line="360" w:lineRule="auto"/>
        <w:jc w:val="center"/>
        <w:rPr>
          <w:rFonts w:ascii="Times New Roman" w:hAnsi="Times New Roman"/>
          <w:color w:val="000000"/>
          <w:kern w:val="0"/>
          <w:sz w:val="24"/>
        </w:rPr>
      </w:pPr>
      <w:r>
        <w:rPr>
          <w:rFonts w:ascii="Times New Roman" w:hAnsi="Times New Roman" w:hint="eastAsia"/>
          <w:color w:val="000000"/>
          <w:kern w:val="0"/>
          <w:sz w:val="24"/>
        </w:rPr>
        <w:t>证券代码：</w:t>
      </w:r>
      <w:r>
        <w:rPr>
          <w:rFonts w:ascii="Times New Roman" w:hAnsi="Times New Roman"/>
          <w:color w:val="000000"/>
          <w:kern w:val="0"/>
          <w:sz w:val="24"/>
        </w:rPr>
        <w:t xml:space="preserve">002785         </w:t>
      </w:r>
      <w:r>
        <w:rPr>
          <w:rFonts w:ascii="Times New Roman" w:hAnsi="Times New Roman" w:hint="eastAsia"/>
          <w:color w:val="000000"/>
          <w:kern w:val="0"/>
          <w:sz w:val="24"/>
        </w:rPr>
        <w:t>证券简称：万里石</w:t>
      </w:r>
      <w:r>
        <w:rPr>
          <w:rFonts w:ascii="Times New Roman" w:hAnsi="Times New Roman"/>
          <w:color w:val="000000"/>
          <w:kern w:val="0"/>
          <w:sz w:val="24"/>
        </w:rPr>
        <w:t xml:space="preserve">          </w:t>
      </w:r>
      <w:r>
        <w:rPr>
          <w:rFonts w:ascii="Times New Roman" w:hAnsi="Times New Roman" w:hint="eastAsia"/>
          <w:color w:val="000000"/>
          <w:kern w:val="0"/>
          <w:sz w:val="24"/>
        </w:rPr>
        <w:t>公告编号：</w:t>
      </w:r>
      <w:r>
        <w:rPr>
          <w:rFonts w:ascii="Times New Roman" w:hAnsi="Times New Roman"/>
          <w:color w:val="000000"/>
          <w:kern w:val="0"/>
          <w:sz w:val="24"/>
        </w:rPr>
        <w:t>20</w:t>
      </w:r>
      <w:r w:rsidR="004D6BEF">
        <w:rPr>
          <w:rFonts w:ascii="Times New Roman" w:hAnsi="Times New Roman" w:hint="eastAsia"/>
          <w:color w:val="000000"/>
          <w:kern w:val="0"/>
          <w:sz w:val="24"/>
        </w:rPr>
        <w:t>2</w:t>
      </w:r>
      <w:r w:rsidR="004D324B">
        <w:rPr>
          <w:rFonts w:ascii="Times New Roman" w:hAnsi="Times New Roman"/>
          <w:color w:val="000000"/>
          <w:kern w:val="0"/>
          <w:sz w:val="24"/>
        </w:rPr>
        <w:t>3</w:t>
      </w:r>
      <w:r>
        <w:rPr>
          <w:rFonts w:ascii="Times New Roman" w:hAnsi="Times New Roman"/>
          <w:color w:val="000000"/>
          <w:kern w:val="0"/>
          <w:sz w:val="24"/>
        </w:rPr>
        <w:t>-0</w:t>
      </w:r>
      <w:r w:rsidR="004D324B">
        <w:rPr>
          <w:rFonts w:ascii="Times New Roman" w:hAnsi="Times New Roman"/>
          <w:color w:val="000000"/>
          <w:kern w:val="0"/>
          <w:sz w:val="24"/>
        </w:rPr>
        <w:t>06</w:t>
      </w:r>
    </w:p>
    <w:p w14:paraId="1857CC64" w14:textId="77777777" w:rsidR="001B5F45" w:rsidRDefault="001B5F45" w:rsidP="00C472DA">
      <w:pPr>
        <w:spacing w:beforeLines="50" w:before="156" w:line="360" w:lineRule="auto"/>
        <w:jc w:val="center"/>
        <w:rPr>
          <w:rFonts w:ascii="Times New Roman" w:hAnsi="Times New Roman"/>
          <w:color w:val="000000"/>
          <w:kern w:val="0"/>
          <w:sz w:val="36"/>
          <w:szCs w:val="36"/>
        </w:rPr>
      </w:pPr>
      <w:r>
        <w:rPr>
          <w:rFonts w:ascii="Times New Roman" w:hAnsi="Times New Roman" w:hint="eastAsia"/>
          <w:color w:val="000000"/>
          <w:kern w:val="0"/>
          <w:sz w:val="36"/>
          <w:szCs w:val="36"/>
        </w:rPr>
        <w:t>厦门万里石股份有限公司</w:t>
      </w:r>
    </w:p>
    <w:p w14:paraId="7B48CC1A" w14:textId="54D83AC4" w:rsidR="001B5F45" w:rsidRPr="00C472DA" w:rsidRDefault="001B5F45" w:rsidP="00C472DA">
      <w:pPr>
        <w:spacing w:afterLines="50" w:after="156" w:line="360" w:lineRule="auto"/>
        <w:jc w:val="center"/>
        <w:rPr>
          <w:rFonts w:ascii="Times New Roman" w:hAnsi="Times New Roman"/>
          <w:color w:val="000000"/>
          <w:kern w:val="0"/>
          <w:sz w:val="36"/>
          <w:szCs w:val="36"/>
        </w:rPr>
      </w:pPr>
      <w:r>
        <w:rPr>
          <w:rFonts w:ascii="Times New Roman" w:hAnsi="Times New Roman" w:hint="eastAsia"/>
          <w:color w:val="000000"/>
          <w:kern w:val="0"/>
          <w:sz w:val="36"/>
          <w:szCs w:val="36"/>
        </w:rPr>
        <w:t>股票交易</w:t>
      </w:r>
      <w:r w:rsidR="004D324B">
        <w:rPr>
          <w:rFonts w:ascii="Times New Roman" w:hAnsi="Times New Roman" w:hint="eastAsia"/>
          <w:color w:val="000000"/>
          <w:kern w:val="0"/>
          <w:sz w:val="36"/>
          <w:szCs w:val="36"/>
        </w:rPr>
        <w:t>异动</w:t>
      </w:r>
      <w:r>
        <w:rPr>
          <w:rFonts w:ascii="Times New Roman" w:hAnsi="Times New Roman" w:hint="eastAsia"/>
          <w:color w:val="000000"/>
          <w:kern w:val="0"/>
          <w:sz w:val="36"/>
          <w:szCs w:val="36"/>
        </w:rPr>
        <w:t>的公告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B5F45" w14:paraId="2E3F4F54" w14:textId="77777777" w:rsidTr="001B5F45">
        <w:tc>
          <w:tcPr>
            <w:tcW w:w="8522" w:type="dxa"/>
            <w:tcBorders>
              <w:top w:val="single" w:sz="4" w:space="0" w:color="auto"/>
              <w:left w:val="single" w:sz="4" w:space="0" w:color="auto"/>
              <w:bottom w:val="single" w:sz="4" w:space="0" w:color="auto"/>
              <w:right w:val="single" w:sz="4" w:space="0" w:color="auto"/>
            </w:tcBorders>
            <w:hideMark/>
          </w:tcPr>
          <w:p w14:paraId="32CAEEFE" w14:textId="77777777" w:rsidR="001B5F45" w:rsidRDefault="001C192A" w:rsidP="004A7903">
            <w:pPr>
              <w:spacing w:line="360" w:lineRule="auto"/>
              <w:ind w:firstLineChars="177" w:firstLine="372"/>
              <w:jc w:val="left"/>
              <w:rPr>
                <w:rFonts w:ascii="Times New Roman" w:hAnsi="Times New Roman"/>
                <w:color w:val="000000"/>
                <w:kern w:val="0"/>
                <w:sz w:val="24"/>
              </w:rPr>
            </w:pPr>
            <w:r>
              <w:t>本公司及董事会全体成员</w:t>
            </w:r>
            <w:r w:rsidR="004A7903">
              <w:rPr>
                <w:rFonts w:hint="eastAsia"/>
              </w:rPr>
              <w:t>保证</w:t>
            </w:r>
            <w:r>
              <w:t>信息</w:t>
            </w:r>
            <w:r w:rsidR="004A7903">
              <w:rPr>
                <w:rFonts w:hint="eastAsia"/>
              </w:rPr>
              <w:t>披露的</w:t>
            </w:r>
            <w:r>
              <w:t>内容真实、准确、完整，没有虚假记载、误导性陈述或重大遗漏。</w:t>
            </w:r>
          </w:p>
        </w:tc>
      </w:tr>
    </w:tbl>
    <w:p w14:paraId="4DD3272D" w14:textId="77777777" w:rsidR="001B5F45" w:rsidRDefault="001B5F45" w:rsidP="00C472DA">
      <w:pPr>
        <w:spacing w:beforeLines="50" w:before="156" w:afterLines="50" w:after="156" w:line="480" w:lineRule="exact"/>
        <w:jc w:val="left"/>
        <w:rPr>
          <w:rFonts w:ascii="Times New Roman" w:hAnsi="Times New Roman"/>
          <w:b/>
          <w:color w:val="000000"/>
          <w:kern w:val="0"/>
          <w:sz w:val="24"/>
        </w:rPr>
      </w:pPr>
      <w:r>
        <w:rPr>
          <w:rFonts w:ascii="Times New Roman" w:hAnsi="Times New Roman" w:hint="eastAsia"/>
          <w:b/>
          <w:color w:val="000000"/>
          <w:kern w:val="0"/>
          <w:sz w:val="24"/>
        </w:rPr>
        <w:t>一、股票交易异常波动</w:t>
      </w:r>
      <w:r w:rsidR="007B2E3B">
        <w:rPr>
          <w:rFonts w:ascii="Times New Roman" w:hAnsi="Times New Roman" w:hint="eastAsia"/>
          <w:b/>
          <w:color w:val="000000"/>
          <w:kern w:val="0"/>
          <w:sz w:val="24"/>
        </w:rPr>
        <w:t>的</w:t>
      </w:r>
      <w:r>
        <w:rPr>
          <w:rFonts w:ascii="Times New Roman" w:hAnsi="Times New Roman" w:hint="eastAsia"/>
          <w:b/>
          <w:color w:val="000000"/>
          <w:kern w:val="0"/>
          <w:sz w:val="24"/>
        </w:rPr>
        <w:t>情况</w:t>
      </w:r>
      <w:r w:rsidR="007B2E3B">
        <w:rPr>
          <w:rFonts w:ascii="Times New Roman" w:hAnsi="Times New Roman" w:hint="eastAsia"/>
          <w:b/>
          <w:color w:val="000000"/>
          <w:kern w:val="0"/>
          <w:sz w:val="24"/>
        </w:rPr>
        <w:t>介绍</w:t>
      </w:r>
    </w:p>
    <w:p w14:paraId="3892C523" w14:textId="146D6D53" w:rsidR="001B5F45" w:rsidRDefault="001B5F45" w:rsidP="00053E53">
      <w:pPr>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厦门万里石股份有限公司（以下简称“公司”</w:t>
      </w:r>
      <w:r w:rsidR="00907A48">
        <w:rPr>
          <w:rFonts w:ascii="Times New Roman" w:hAnsi="Times New Roman" w:hint="eastAsia"/>
          <w:color w:val="000000"/>
          <w:kern w:val="0"/>
          <w:sz w:val="24"/>
        </w:rPr>
        <w:t>，股票代码：</w:t>
      </w:r>
      <w:r w:rsidR="00B805CB">
        <w:rPr>
          <w:rFonts w:ascii="Times New Roman" w:hAnsi="Times New Roman" w:hint="eastAsia"/>
          <w:color w:val="000000"/>
          <w:kern w:val="0"/>
          <w:sz w:val="24"/>
        </w:rPr>
        <w:t>0</w:t>
      </w:r>
      <w:r w:rsidR="00907A48">
        <w:rPr>
          <w:rFonts w:ascii="Times New Roman" w:hAnsi="Times New Roman" w:hint="eastAsia"/>
          <w:color w:val="000000"/>
          <w:kern w:val="0"/>
          <w:sz w:val="24"/>
        </w:rPr>
        <w:t>02785</w:t>
      </w:r>
      <w:r w:rsidR="00907A48">
        <w:rPr>
          <w:rFonts w:ascii="Times New Roman" w:hAnsi="Times New Roman" w:hint="eastAsia"/>
          <w:color w:val="000000"/>
          <w:kern w:val="0"/>
          <w:sz w:val="24"/>
        </w:rPr>
        <w:t>，股票简称：万里石</w:t>
      </w:r>
      <w:r>
        <w:rPr>
          <w:rFonts w:ascii="Times New Roman" w:hAnsi="Times New Roman" w:hint="eastAsia"/>
          <w:color w:val="000000"/>
          <w:kern w:val="0"/>
          <w:sz w:val="24"/>
        </w:rPr>
        <w:t>）股票交易价格连续</w:t>
      </w:r>
      <w:r w:rsidR="00C472DA">
        <w:rPr>
          <w:rFonts w:ascii="Times New Roman" w:hAnsi="Times New Roman" w:hint="eastAsia"/>
          <w:color w:val="000000"/>
          <w:kern w:val="0"/>
          <w:sz w:val="24"/>
        </w:rPr>
        <w:t>三</w:t>
      </w:r>
      <w:r>
        <w:rPr>
          <w:rFonts w:ascii="Times New Roman" w:hAnsi="Times New Roman" w:hint="eastAsia"/>
          <w:color w:val="000000"/>
          <w:kern w:val="0"/>
          <w:sz w:val="24"/>
        </w:rPr>
        <w:t>个交易日内（</w:t>
      </w:r>
      <w:r>
        <w:rPr>
          <w:rFonts w:ascii="Times New Roman" w:hAnsi="Times New Roman"/>
          <w:color w:val="000000"/>
          <w:kern w:val="0"/>
          <w:sz w:val="24"/>
        </w:rPr>
        <w:t>20</w:t>
      </w:r>
      <w:r w:rsidR="004D6BEF">
        <w:rPr>
          <w:rFonts w:ascii="Times New Roman" w:hAnsi="Times New Roman" w:hint="eastAsia"/>
          <w:color w:val="000000"/>
          <w:kern w:val="0"/>
          <w:sz w:val="24"/>
        </w:rPr>
        <w:t>2</w:t>
      </w:r>
      <w:r w:rsidR="004D324B">
        <w:rPr>
          <w:rFonts w:ascii="Times New Roman" w:hAnsi="Times New Roman"/>
          <w:color w:val="000000"/>
          <w:kern w:val="0"/>
          <w:sz w:val="24"/>
        </w:rPr>
        <w:t>3</w:t>
      </w:r>
      <w:r>
        <w:rPr>
          <w:rFonts w:ascii="Times New Roman" w:hAnsi="Times New Roman" w:hint="eastAsia"/>
          <w:color w:val="000000"/>
          <w:kern w:val="0"/>
          <w:sz w:val="24"/>
        </w:rPr>
        <w:t>年</w:t>
      </w:r>
      <w:r w:rsidR="004D324B">
        <w:rPr>
          <w:rFonts w:ascii="Times New Roman" w:hAnsi="Times New Roman"/>
          <w:color w:val="000000"/>
          <w:kern w:val="0"/>
          <w:sz w:val="24"/>
        </w:rPr>
        <w:t>2</w:t>
      </w:r>
      <w:r>
        <w:rPr>
          <w:rFonts w:ascii="Times New Roman" w:hAnsi="Times New Roman" w:hint="eastAsia"/>
          <w:color w:val="000000"/>
          <w:kern w:val="0"/>
          <w:sz w:val="24"/>
        </w:rPr>
        <w:t>月</w:t>
      </w:r>
      <w:r w:rsidR="004D324B">
        <w:rPr>
          <w:rFonts w:ascii="Times New Roman" w:hAnsi="Times New Roman"/>
          <w:color w:val="000000"/>
          <w:kern w:val="0"/>
          <w:sz w:val="24"/>
        </w:rPr>
        <w:t>6</w:t>
      </w:r>
      <w:r>
        <w:rPr>
          <w:rFonts w:ascii="Times New Roman" w:hAnsi="Times New Roman" w:hint="eastAsia"/>
          <w:color w:val="000000"/>
          <w:kern w:val="0"/>
          <w:sz w:val="24"/>
        </w:rPr>
        <w:t>日、</w:t>
      </w:r>
      <w:r w:rsidR="004D324B">
        <w:rPr>
          <w:rFonts w:ascii="Times New Roman" w:hAnsi="Times New Roman"/>
          <w:color w:val="000000"/>
          <w:kern w:val="0"/>
          <w:sz w:val="24"/>
        </w:rPr>
        <w:t>2</w:t>
      </w:r>
      <w:r>
        <w:rPr>
          <w:rFonts w:ascii="Times New Roman" w:hAnsi="Times New Roman" w:hint="eastAsia"/>
          <w:color w:val="000000"/>
          <w:kern w:val="0"/>
          <w:sz w:val="24"/>
        </w:rPr>
        <w:t>月</w:t>
      </w:r>
      <w:r w:rsidR="004D324B">
        <w:rPr>
          <w:rFonts w:ascii="Times New Roman" w:hAnsi="Times New Roman"/>
          <w:color w:val="000000"/>
          <w:kern w:val="0"/>
          <w:sz w:val="24"/>
        </w:rPr>
        <w:t>7</w:t>
      </w:r>
      <w:r>
        <w:rPr>
          <w:rFonts w:ascii="Times New Roman" w:hAnsi="Times New Roman" w:hint="eastAsia"/>
          <w:color w:val="000000"/>
          <w:kern w:val="0"/>
          <w:sz w:val="24"/>
        </w:rPr>
        <w:t>日</w:t>
      </w:r>
      <w:r w:rsidR="00C472DA">
        <w:rPr>
          <w:rFonts w:ascii="Times New Roman" w:hAnsi="Times New Roman" w:hint="eastAsia"/>
          <w:color w:val="000000"/>
          <w:kern w:val="0"/>
          <w:sz w:val="24"/>
        </w:rPr>
        <w:t>、</w:t>
      </w:r>
      <w:r w:rsidR="004D324B">
        <w:rPr>
          <w:rFonts w:ascii="Times New Roman" w:hAnsi="Times New Roman"/>
          <w:color w:val="000000"/>
          <w:kern w:val="0"/>
          <w:sz w:val="24"/>
        </w:rPr>
        <w:t>2</w:t>
      </w:r>
      <w:r w:rsidR="00C472DA">
        <w:rPr>
          <w:rFonts w:ascii="Times New Roman" w:hAnsi="Times New Roman" w:hint="eastAsia"/>
          <w:color w:val="000000"/>
          <w:kern w:val="0"/>
          <w:sz w:val="24"/>
        </w:rPr>
        <w:t>月</w:t>
      </w:r>
      <w:r w:rsidR="004D324B">
        <w:rPr>
          <w:rFonts w:ascii="Times New Roman" w:hAnsi="Times New Roman"/>
          <w:color w:val="000000"/>
          <w:kern w:val="0"/>
          <w:sz w:val="24"/>
        </w:rPr>
        <w:t>8</w:t>
      </w:r>
      <w:r w:rsidR="00C472DA">
        <w:rPr>
          <w:rFonts w:ascii="Times New Roman" w:hAnsi="Times New Roman" w:hint="eastAsia"/>
          <w:color w:val="000000"/>
          <w:kern w:val="0"/>
          <w:sz w:val="24"/>
        </w:rPr>
        <w:t>日</w:t>
      </w:r>
      <w:r w:rsidR="000D4564">
        <w:rPr>
          <w:rFonts w:ascii="Times New Roman" w:hAnsi="Times New Roman" w:hint="eastAsia"/>
          <w:color w:val="000000"/>
          <w:kern w:val="0"/>
          <w:sz w:val="24"/>
        </w:rPr>
        <w:t>）收盘价格</w:t>
      </w:r>
      <w:r w:rsidR="004D324B">
        <w:rPr>
          <w:rFonts w:ascii="Times New Roman" w:hAnsi="Times New Roman" w:hint="eastAsia"/>
          <w:color w:val="000000"/>
          <w:kern w:val="0"/>
          <w:sz w:val="24"/>
        </w:rPr>
        <w:t>跌幅</w:t>
      </w:r>
      <w:r>
        <w:rPr>
          <w:rFonts w:ascii="Times New Roman" w:hAnsi="Times New Roman" w:hint="eastAsia"/>
          <w:color w:val="000000"/>
          <w:kern w:val="0"/>
          <w:sz w:val="24"/>
        </w:rPr>
        <w:t>偏离值累计超过</w:t>
      </w:r>
      <w:r>
        <w:rPr>
          <w:rFonts w:ascii="Times New Roman" w:hAnsi="Times New Roman"/>
          <w:color w:val="000000"/>
          <w:kern w:val="0"/>
          <w:sz w:val="24"/>
        </w:rPr>
        <w:t>20%</w:t>
      </w:r>
      <w:r>
        <w:rPr>
          <w:rFonts w:ascii="Times New Roman" w:hAnsi="Times New Roman" w:hint="eastAsia"/>
          <w:color w:val="000000"/>
          <w:kern w:val="0"/>
          <w:sz w:val="24"/>
        </w:rPr>
        <w:t>，根据深圳证券交易所的有关规定，属于股票交易异常波动的情况。</w:t>
      </w:r>
    </w:p>
    <w:p w14:paraId="71A196BF" w14:textId="77777777" w:rsidR="001B5F45" w:rsidRDefault="001B5F45" w:rsidP="001B5F45">
      <w:pPr>
        <w:spacing w:afterLines="50" w:after="156" w:line="480" w:lineRule="exact"/>
        <w:jc w:val="left"/>
        <w:rPr>
          <w:rFonts w:ascii="Times New Roman" w:hAnsi="Times New Roman"/>
          <w:b/>
          <w:color w:val="000000"/>
          <w:kern w:val="0"/>
          <w:sz w:val="24"/>
        </w:rPr>
      </w:pPr>
      <w:r>
        <w:rPr>
          <w:rFonts w:ascii="Times New Roman" w:hAnsi="Times New Roman" w:hint="eastAsia"/>
          <w:b/>
          <w:color w:val="000000"/>
          <w:kern w:val="0"/>
          <w:sz w:val="24"/>
        </w:rPr>
        <w:t>二、</w:t>
      </w:r>
      <w:r w:rsidR="007B2E3B">
        <w:rPr>
          <w:rFonts w:ascii="Times New Roman" w:hAnsi="Times New Roman" w:hint="eastAsia"/>
          <w:b/>
          <w:color w:val="000000"/>
          <w:kern w:val="0"/>
          <w:sz w:val="24"/>
        </w:rPr>
        <w:t>公司关注及核实情况说明</w:t>
      </w:r>
    </w:p>
    <w:p w14:paraId="5F20FEB8" w14:textId="543CD79E" w:rsidR="00C472DA" w:rsidRDefault="007F7586" w:rsidP="00726823">
      <w:pPr>
        <w:spacing w:line="360" w:lineRule="auto"/>
        <w:ind w:firstLineChars="200" w:firstLine="480"/>
        <w:rPr>
          <w:rFonts w:ascii="Times New Roman" w:hAnsi="Times New Roman"/>
          <w:color w:val="000000"/>
          <w:kern w:val="0"/>
          <w:sz w:val="24"/>
        </w:rPr>
      </w:pPr>
      <w:r w:rsidRPr="007F7586">
        <w:rPr>
          <w:rFonts w:ascii="Times New Roman" w:hAnsi="Times New Roman" w:hint="eastAsia"/>
          <w:color w:val="000000"/>
          <w:kern w:val="0"/>
          <w:sz w:val="24"/>
        </w:rPr>
        <w:t>针对公司股票异常波动，公司董事会通过</w:t>
      </w:r>
      <w:r w:rsidR="00017EF7">
        <w:rPr>
          <w:rFonts w:ascii="Times New Roman" w:hAnsi="Times New Roman" w:hint="eastAsia"/>
          <w:color w:val="000000"/>
          <w:kern w:val="0"/>
          <w:sz w:val="24"/>
        </w:rPr>
        <w:t>通讯</w:t>
      </w:r>
      <w:r w:rsidRPr="007F7586">
        <w:rPr>
          <w:rFonts w:ascii="Times New Roman" w:hAnsi="Times New Roman" w:hint="eastAsia"/>
          <w:color w:val="000000"/>
          <w:kern w:val="0"/>
          <w:sz w:val="24"/>
        </w:rPr>
        <w:t>、电话及现场问询等方式，对公司持股</w:t>
      </w:r>
      <w:r w:rsidRPr="007F7586">
        <w:rPr>
          <w:rFonts w:ascii="Times New Roman" w:hAnsi="Times New Roman" w:hint="eastAsia"/>
          <w:color w:val="000000"/>
          <w:kern w:val="0"/>
          <w:sz w:val="24"/>
        </w:rPr>
        <w:t>5%</w:t>
      </w:r>
      <w:r w:rsidRPr="007F7586">
        <w:rPr>
          <w:rFonts w:ascii="Times New Roman" w:hAnsi="Times New Roman" w:hint="eastAsia"/>
          <w:color w:val="000000"/>
          <w:kern w:val="0"/>
          <w:sz w:val="24"/>
        </w:rPr>
        <w:t>以上股东邹鹏先生、公司董事（胡精沛先生除外）、监事及高级管理人员及其亲属、券商、律师、会计师就有关问题进行了核查，相关情况说明如下</w:t>
      </w:r>
      <w:r w:rsidR="00DE149F">
        <w:rPr>
          <w:rFonts w:ascii="Times New Roman" w:hAnsi="Times New Roman" w:hint="eastAsia"/>
          <w:color w:val="000000"/>
          <w:kern w:val="0"/>
          <w:sz w:val="24"/>
        </w:rPr>
        <w:t>：</w:t>
      </w:r>
    </w:p>
    <w:p w14:paraId="0FD8B0E3" w14:textId="4F16D4C2" w:rsidR="00032280" w:rsidRPr="00D0047B" w:rsidRDefault="001B5F45" w:rsidP="00D0047B">
      <w:pPr>
        <w:autoSpaceDE w:val="0"/>
        <w:autoSpaceDN w:val="0"/>
        <w:adjustRightInd w:val="0"/>
        <w:spacing w:line="360" w:lineRule="auto"/>
        <w:ind w:firstLineChars="200" w:firstLine="480"/>
        <w:rPr>
          <w:rFonts w:ascii="Times New Roman" w:eastAsiaTheme="minorEastAsia" w:hAnsi="Times New Roman"/>
          <w:kern w:val="0"/>
          <w:sz w:val="24"/>
          <w:szCs w:val="22"/>
        </w:rPr>
      </w:pPr>
      <w:r>
        <w:rPr>
          <w:rFonts w:ascii="Times New Roman" w:hAnsi="Times New Roman"/>
          <w:color w:val="000000"/>
          <w:kern w:val="0"/>
          <w:sz w:val="24"/>
        </w:rPr>
        <w:t>1</w:t>
      </w:r>
      <w:r w:rsidR="001C192A">
        <w:rPr>
          <w:rFonts w:ascii="Times New Roman" w:hAnsi="Times New Roman" w:hint="eastAsia"/>
          <w:color w:val="000000"/>
          <w:kern w:val="0"/>
          <w:sz w:val="24"/>
        </w:rPr>
        <w:t>、</w:t>
      </w:r>
      <w:bookmarkStart w:id="0" w:name="_Hlk84870974"/>
      <w:r w:rsidR="00EF0AA5" w:rsidRPr="00EF0AA5">
        <w:rPr>
          <w:rFonts w:ascii="Times New Roman" w:hAnsi="Times New Roman" w:hint="eastAsia"/>
          <w:color w:val="000000"/>
          <w:kern w:val="0"/>
          <w:sz w:val="24"/>
        </w:rPr>
        <w:t>202</w:t>
      </w:r>
      <w:r w:rsidR="00580A21">
        <w:rPr>
          <w:rFonts w:ascii="Times New Roman" w:hAnsi="Times New Roman"/>
          <w:color w:val="000000"/>
          <w:kern w:val="0"/>
          <w:sz w:val="24"/>
        </w:rPr>
        <w:t>3</w:t>
      </w:r>
      <w:r w:rsidR="00EF0AA5" w:rsidRPr="00EF0AA5">
        <w:rPr>
          <w:rFonts w:ascii="Times New Roman" w:hAnsi="Times New Roman" w:hint="eastAsia"/>
          <w:color w:val="000000"/>
          <w:kern w:val="0"/>
          <w:sz w:val="24"/>
        </w:rPr>
        <w:t>年</w:t>
      </w:r>
      <w:r w:rsidR="00580A21">
        <w:rPr>
          <w:rFonts w:ascii="Times New Roman" w:hAnsi="Times New Roman"/>
          <w:color w:val="000000"/>
          <w:kern w:val="0"/>
          <w:sz w:val="24"/>
        </w:rPr>
        <w:t>2</w:t>
      </w:r>
      <w:r w:rsidR="00EF0AA5" w:rsidRPr="00EF0AA5">
        <w:rPr>
          <w:rFonts w:ascii="Times New Roman" w:hAnsi="Times New Roman" w:hint="eastAsia"/>
          <w:color w:val="000000"/>
          <w:kern w:val="0"/>
          <w:sz w:val="24"/>
        </w:rPr>
        <w:t>月</w:t>
      </w:r>
      <w:r w:rsidR="00580A21">
        <w:rPr>
          <w:rFonts w:ascii="Times New Roman" w:hAnsi="Times New Roman"/>
          <w:color w:val="000000"/>
          <w:kern w:val="0"/>
          <w:sz w:val="24"/>
        </w:rPr>
        <w:t>7</w:t>
      </w:r>
      <w:r w:rsidR="00EF0AA5" w:rsidRPr="00EF0AA5">
        <w:rPr>
          <w:rFonts w:ascii="Times New Roman" w:hAnsi="Times New Roman" w:hint="eastAsia"/>
          <w:color w:val="000000"/>
          <w:kern w:val="0"/>
          <w:sz w:val="24"/>
        </w:rPr>
        <w:t>日</w:t>
      </w:r>
      <w:r w:rsidR="00D0047B">
        <w:rPr>
          <w:rFonts w:ascii="Times New Roman" w:hAnsi="Times New Roman" w:hint="eastAsia"/>
          <w:color w:val="000000"/>
          <w:kern w:val="0"/>
          <w:sz w:val="24"/>
        </w:rPr>
        <w:t>，</w:t>
      </w:r>
      <w:r w:rsidR="00D0047B" w:rsidRPr="00D0047B">
        <w:rPr>
          <w:rFonts w:ascii="Times New Roman" w:hAnsi="Times New Roman" w:hint="eastAsia"/>
          <w:color w:val="000000"/>
          <w:kern w:val="0"/>
          <w:sz w:val="24"/>
        </w:rPr>
        <w:t>公司</w:t>
      </w:r>
      <w:r w:rsidR="00D0047B">
        <w:rPr>
          <w:rFonts w:ascii="Times New Roman" w:hAnsi="Times New Roman" w:hint="eastAsia"/>
          <w:color w:val="000000"/>
          <w:kern w:val="0"/>
          <w:sz w:val="24"/>
        </w:rPr>
        <w:t>对外</w:t>
      </w:r>
      <w:r w:rsidR="00EF0AA5" w:rsidRPr="00EF0AA5">
        <w:rPr>
          <w:rFonts w:ascii="Times New Roman" w:hAnsi="Times New Roman" w:hint="eastAsia"/>
          <w:color w:val="000000"/>
          <w:kern w:val="0"/>
          <w:sz w:val="24"/>
        </w:rPr>
        <w:t>披露了《</w:t>
      </w:r>
      <w:r w:rsidR="00580A21" w:rsidRPr="00580A21">
        <w:rPr>
          <w:rFonts w:ascii="Times New Roman" w:hAnsi="Times New Roman" w:hint="eastAsia"/>
          <w:color w:val="000000"/>
          <w:kern w:val="0"/>
          <w:sz w:val="24"/>
        </w:rPr>
        <w:t>关于重大事项的公告</w:t>
      </w:r>
      <w:r w:rsidR="00EF0AA5" w:rsidRPr="00EF0AA5">
        <w:rPr>
          <w:rFonts w:ascii="Times New Roman" w:hAnsi="Times New Roman" w:hint="eastAsia"/>
          <w:color w:val="000000"/>
          <w:kern w:val="0"/>
          <w:sz w:val="24"/>
        </w:rPr>
        <w:t>》（</w:t>
      </w:r>
      <w:r w:rsidR="000959CF" w:rsidRPr="000959CF">
        <w:rPr>
          <w:rFonts w:ascii="Times New Roman" w:hAnsi="Times New Roman"/>
          <w:color w:val="000000"/>
          <w:kern w:val="0"/>
          <w:sz w:val="24"/>
        </w:rPr>
        <w:t>202</w:t>
      </w:r>
      <w:r w:rsidR="00580A21">
        <w:rPr>
          <w:rFonts w:ascii="Times New Roman" w:hAnsi="Times New Roman"/>
          <w:color w:val="000000"/>
          <w:kern w:val="0"/>
          <w:sz w:val="24"/>
        </w:rPr>
        <w:t>3</w:t>
      </w:r>
      <w:r w:rsidR="000959CF" w:rsidRPr="000959CF">
        <w:rPr>
          <w:rFonts w:ascii="Times New Roman" w:hAnsi="Times New Roman"/>
          <w:color w:val="000000"/>
          <w:kern w:val="0"/>
          <w:sz w:val="24"/>
        </w:rPr>
        <w:t>-0</w:t>
      </w:r>
      <w:r w:rsidR="00580A21">
        <w:rPr>
          <w:rFonts w:ascii="Times New Roman" w:hAnsi="Times New Roman"/>
          <w:color w:val="000000"/>
          <w:kern w:val="0"/>
          <w:sz w:val="24"/>
        </w:rPr>
        <w:t>05</w:t>
      </w:r>
      <w:r w:rsidR="00EF0AA5" w:rsidRPr="00EF0AA5">
        <w:rPr>
          <w:rFonts w:ascii="Times New Roman" w:hAnsi="Times New Roman" w:hint="eastAsia"/>
          <w:color w:val="000000"/>
          <w:kern w:val="0"/>
          <w:sz w:val="24"/>
        </w:rPr>
        <w:t>）</w:t>
      </w:r>
      <w:bookmarkEnd w:id="0"/>
      <w:r w:rsidR="00EF0AA5" w:rsidRPr="00EF0AA5">
        <w:rPr>
          <w:rFonts w:ascii="Times New Roman" w:hAnsi="Times New Roman" w:hint="eastAsia"/>
          <w:color w:val="000000"/>
          <w:kern w:val="0"/>
          <w:sz w:val="24"/>
        </w:rPr>
        <w:t>，</w:t>
      </w:r>
      <w:r w:rsidR="00D0047B">
        <w:rPr>
          <w:rFonts w:ascii="Times New Roman" w:hAnsi="Times New Roman" w:hint="eastAsia"/>
          <w:color w:val="000000"/>
          <w:kern w:val="0"/>
          <w:sz w:val="24"/>
        </w:rPr>
        <w:t>公司</w:t>
      </w:r>
      <w:r w:rsidR="00580A21" w:rsidRPr="00580A21">
        <w:rPr>
          <w:rFonts w:ascii="Times New Roman" w:hAnsi="Times New Roman" w:hint="eastAsia"/>
          <w:color w:val="000000"/>
          <w:kern w:val="0"/>
          <w:sz w:val="24"/>
        </w:rPr>
        <w:t>于</w:t>
      </w:r>
      <w:r w:rsidR="00580A21" w:rsidRPr="00580A21">
        <w:rPr>
          <w:rFonts w:ascii="Times New Roman" w:hAnsi="Times New Roman" w:hint="eastAsia"/>
          <w:color w:val="000000"/>
          <w:kern w:val="0"/>
          <w:sz w:val="24"/>
        </w:rPr>
        <w:t>2023</w:t>
      </w:r>
      <w:r w:rsidR="00580A21" w:rsidRPr="00580A21">
        <w:rPr>
          <w:rFonts w:ascii="Times New Roman" w:hAnsi="Times New Roman" w:hint="eastAsia"/>
          <w:color w:val="000000"/>
          <w:kern w:val="0"/>
          <w:sz w:val="24"/>
        </w:rPr>
        <w:t>年</w:t>
      </w:r>
      <w:r w:rsidR="00580A21" w:rsidRPr="00580A21">
        <w:rPr>
          <w:rFonts w:ascii="Times New Roman" w:hAnsi="Times New Roman" w:hint="eastAsia"/>
          <w:color w:val="000000"/>
          <w:kern w:val="0"/>
          <w:sz w:val="24"/>
        </w:rPr>
        <w:t>2</w:t>
      </w:r>
      <w:r w:rsidR="00580A21" w:rsidRPr="00580A21">
        <w:rPr>
          <w:rFonts w:ascii="Times New Roman" w:hAnsi="Times New Roman" w:hint="eastAsia"/>
          <w:color w:val="000000"/>
          <w:kern w:val="0"/>
          <w:sz w:val="24"/>
        </w:rPr>
        <w:t>月</w:t>
      </w:r>
      <w:r w:rsidR="00580A21" w:rsidRPr="00580A21">
        <w:rPr>
          <w:rFonts w:ascii="Times New Roman" w:hAnsi="Times New Roman" w:hint="eastAsia"/>
          <w:color w:val="000000"/>
          <w:kern w:val="0"/>
          <w:sz w:val="24"/>
        </w:rPr>
        <w:t>6</w:t>
      </w:r>
      <w:r w:rsidR="00580A21" w:rsidRPr="00580A21">
        <w:rPr>
          <w:rFonts w:ascii="Times New Roman" w:hAnsi="Times New Roman" w:hint="eastAsia"/>
          <w:color w:val="000000"/>
          <w:kern w:val="0"/>
          <w:sz w:val="24"/>
        </w:rPr>
        <w:t>日收到湖南省监察委员会签发的关于对公司法定代表人、董事长胡精沛先生个人因涉嫌行贿而被留置并立案调查的通知书</w:t>
      </w:r>
      <w:r w:rsidR="00D0047B">
        <w:rPr>
          <w:rFonts w:ascii="Times New Roman" w:hAnsi="Times New Roman" w:hint="eastAsia"/>
          <w:color w:val="000000"/>
          <w:kern w:val="0"/>
          <w:sz w:val="24"/>
        </w:rPr>
        <w:t>。</w:t>
      </w:r>
      <w:r w:rsidR="00D0047B" w:rsidRPr="00D0047B">
        <w:rPr>
          <w:rFonts w:ascii="Times New Roman" w:eastAsiaTheme="minorEastAsia" w:hAnsi="Times New Roman" w:hint="eastAsia"/>
          <w:kern w:val="0"/>
          <w:sz w:val="24"/>
          <w:szCs w:val="22"/>
        </w:rPr>
        <w:t>目前，公司已对相关工作进行了妥善安排。公司拥有完善的治理结构及内部控制机制，公司将按照《公司法》、《深圳证券交易所股票上市规则》及《公司章程》等法律法规和相关制度规范运作。截至本公告披露日，公司及子公司生产经营秩序正常，各项业务正稳步推进中</w:t>
      </w:r>
      <w:r w:rsidR="00EF0AA5" w:rsidRPr="00EF0AA5">
        <w:rPr>
          <w:rFonts w:ascii="Times New Roman" w:hAnsi="Times New Roman" w:hint="eastAsia"/>
          <w:color w:val="000000"/>
          <w:kern w:val="0"/>
          <w:sz w:val="24"/>
        </w:rPr>
        <w:t>。</w:t>
      </w:r>
      <w:r w:rsidR="00032280" w:rsidRPr="00032280">
        <w:rPr>
          <w:rFonts w:ascii="Times New Roman" w:hAnsi="Times New Roman" w:hint="eastAsia"/>
          <w:color w:val="000000"/>
          <w:kern w:val="0"/>
          <w:sz w:val="24"/>
        </w:rPr>
        <w:t>后续公司将根据事项进展情况，按照有关法律法规的规定和要求，履行信息披露义务。</w:t>
      </w:r>
    </w:p>
    <w:p w14:paraId="2A151313" w14:textId="5B3203FF" w:rsidR="00C628CA" w:rsidRPr="00C628CA" w:rsidRDefault="00C628CA" w:rsidP="00352DEE">
      <w:pPr>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2</w:t>
      </w:r>
      <w:r>
        <w:rPr>
          <w:rFonts w:ascii="Times New Roman" w:hAnsi="Times New Roman"/>
          <w:color w:val="000000"/>
          <w:kern w:val="0"/>
          <w:sz w:val="24"/>
        </w:rPr>
        <w:t>、</w:t>
      </w:r>
      <w:r w:rsidR="00017EF7" w:rsidRPr="00017EF7">
        <w:rPr>
          <w:rFonts w:ascii="Times New Roman" w:hAnsi="Times New Roman" w:hint="eastAsia"/>
          <w:color w:val="000000"/>
          <w:kern w:val="0"/>
          <w:sz w:val="24"/>
        </w:rPr>
        <w:t>根据《公司章程》规定，董事长不能履行职务时，由副董事长履行职务。目前公司副董事长、总裁邹鹏先生已全面主持公司董事会、管理层的各项工作，公司各业务板块负责人均坚守岗位、</w:t>
      </w:r>
      <w:r w:rsidR="00017EF7">
        <w:rPr>
          <w:rFonts w:ascii="Times New Roman" w:hAnsi="Times New Roman" w:hint="eastAsia"/>
          <w:color w:val="000000"/>
          <w:kern w:val="0"/>
          <w:sz w:val="24"/>
        </w:rPr>
        <w:t>正常</w:t>
      </w:r>
      <w:r w:rsidR="00017EF7" w:rsidRPr="00017EF7">
        <w:rPr>
          <w:rFonts w:ascii="Times New Roman" w:hAnsi="Times New Roman" w:hint="eastAsia"/>
          <w:color w:val="000000"/>
          <w:kern w:val="0"/>
          <w:sz w:val="24"/>
        </w:rPr>
        <w:t>履职。</w:t>
      </w:r>
      <w:r w:rsidR="00017EF7" w:rsidRPr="00017EF7">
        <w:rPr>
          <w:rFonts w:ascii="Times New Roman" w:hAnsi="Times New Roman" w:hint="eastAsia"/>
          <w:color w:val="000000"/>
          <w:kern w:val="0"/>
          <w:sz w:val="24"/>
        </w:rPr>
        <w:t>2023</w:t>
      </w:r>
      <w:r w:rsidR="00017EF7" w:rsidRPr="00017EF7">
        <w:rPr>
          <w:rFonts w:ascii="Times New Roman" w:hAnsi="Times New Roman" w:hint="eastAsia"/>
          <w:color w:val="000000"/>
          <w:kern w:val="0"/>
          <w:sz w:val="24"/>
        </w:rPr>
        <w:t>年，公司将按照年初</w:t>
      </w:r>
      <w:r w:rsidR="0041287A">
        <w:rPr>
          <w:rFonts w:ascii="Times New Roman" w:hAnsi="Times New Roman" w:hint="eastAsia"/>
          <w:color w:val="000000"/>
          <w:kern w:val="0"/>
          <w:sz w:val="24"/>
        </w:rPr>
        <w:t>管理层</w:t>
      </w:r>
      <w:r w:rsidR="00017EF7" w:rsidRPr="00017EF7">
        <w:rPr>
          <w:rFonts w:ascii="Times New Roman" w:hAnsi="Times New Roman" w:hint="eastAsia"/>
          <w:color w:val="000000"/>
          <w:kern w:val="0"/>
          <w:sz w:val="24"/>
        </w:rPr>
        <w:t>制定的</w:t>
      </w:r>
      <w:r w:rsidR="0041287A">
        <w:rPr>
          <w:rFonts w:ascii="Times New Roman" w:hAnsi="Times New Roman" w:hint="eastAsia"/>
          <w:color w:val="000000"/>
          <w:kern w:val="0"/>
          <w:sz w:val="24"/>
        </w:rPr>
        <w:t>经营方针</w:t>
      </w:r>
      <w:r w:rsidR="00017EF7" w:rsidRPr="00017EF7">
        <w:rPr>
          <w:rFonts w:ascii="Times New Roman" w:hAnsi="Times New Roman" w:hint="eastAsia"/>
          <w:color w:val="000000"/>
          <w:kern w:val="0"/>
          <w:sz w:val="24"/>
        </w:rPr>
        <w:t>扎实推动公司</w:t>
      </w:r>
      <w:r w:rsidR="0041287A">
        <w:rPr>
          <w:rFonts w:ascii="Times New Roman" w:hAnsi="Times New Roman" w:hint="eastAsia"/>
          <w:color w:val="000000"/>
          <w:kern w:val="0"/>
          <w:sz w:val="24"/>
        </w:rPr>
        <w:t>新能源</w:t>
      </w:r>
      <w:r w:rsidR="00017EF7" w:rsidRPr="00017EF7">
        <w:rPr>
          <w:rFonts w:ascii="Times New Roman" w:hAnsi="Times New Roman" w:hint="eastAsia"/>
          <w:color w:val="000000"/>
          <w:kern w:val="0"/>
          <w:sz w:val="24"/>
        </w:rPr>
        <w:t>转型战略，传统石材业务将有条不紊的持</w:t>
      </w:r>
      <w:r w:rsidR="00017EF7" w:rsidRPr="00017EF7">
        <w:rPr>
          <w:rFonts w:ascii="Times New Roman" w:hAnsi="Times New Roman" w:hint="eastAsia"/>
          <w:color w:val="000000"/>
          <w:kern w:val="0"/>
          <w:sz w:val="24"/>
        </w:rPr>
        <w:lastRenderedPageBreak/>
        <w:t>续推进，碳酸锂产线建设将继续保持</w:t>
      </w:r>
      <w:r w:rsidR="0041287A">
        <w:rPr>
          <w:rFonts w:ascii="Times New Roman" w:hAnsi="Times New Roman" w:hint="eastAsia"/>
          <w:color w:val="000000"/>
          <w:kern w:val="0"/>
          <w:sz w:val="24"/>
        </w:rPr>
        <w:t>推进</w:t>
      </w:r>
      <w:r w:rsidR="00017EF7" w:rsidRPr="00017EF7">
        <w:rPr>
          <w:rFonts w:ascii="Times New Roman" w:hAnsi="Times New Roman" w:hint="eastAsia"/>
          <w:color w:val="000000"/>
          <w:kern w:val="0"/>
          <w:sz w:val="24"/>
        </w:rPr>
        <w:t>，因此胡精沛先生被调查事项对公司日常生产经营不会产生重大不利影响</w:t>
      </w:r>
      <w:r w:rsidR="00CD235A">
        <w:rPr>
          <w:rFonts w:ascii="Times New Roman" w:hAnsi="Times New Roman" w:hint="eastAsia"/>
          <w:color w:val="000000"/>
          <w:kern w:val="0"/>
          <w:sz w:val="24"/>
        </w:rPr>
        <w:t>。</w:t>
      </w:r>
    </w:p>
    <w:p w14:paraId="0706B85B" w14:textId="3F7744F8" w:rsidR="001B5F45" w:rsidRDefault="00C628CA" w:rsidP="00545A82">
      <w:pPr>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3</w:t>
      </w:r>
      <w:r w:rsidR="00C63874">
        <w:rPr>
          <w:rFonts w:ascii="Times New Roman" w:hAnsi="Times New Roman" w:hint="eastAsia"/>
          <w:color w:val="000000"/>
          <w:kern w:val="0"/>
          <w:sz w:val="24"/>
        </w:rPr>
        <w:t>、</w:t>
      </w:r>
      <w:r w:rsidR="001B5F45">
        <w:rPr>
          <w:rFonts w:ascii="Times New Roman" w:hAnsi="Times New Roman" w:hint="eastAsia"/>
          <w:color w:val="000000"/>
          <w:kern w:val="0"/>
          <w:sz w:val="24"/>
        </w:rPr>
        <w:t>公司前期披露的信息不存在需要</w:t>
      </w:r>
      <w:r w:rsidR="00545A82">
        <w:rPr>
          <w:rFonts w:ascii="Times New Roman" w:hAnsi="Times New Roman" w:hint="eastAsia"/>
          <w:color w:val="000000"/>
          <w:kern w:val="0"/>
          <w:sz w:val="24"/>
        </w:rPr>
        <w:t>重大</w:t>
      </w:r>
      <w:r w:rsidR="001B5F45">
        <w:rPr>
          <w:rFonts w:ascii="Times New Roman" w:hAnsi="Times New Roman" w:hint="eastAsia"/>
          <w:color w:val="000000"/>
          <w:kern w:val="0"/>
          <w:sz w:val="24"/>
        </w:rPr>
        <w:t>补充、更正之处</w:t>
      </w:r>
      <w:r w:rsidR="00032280">
        <w:rPr>
          <w:rFonts w:ascii="Times New Roman" w:hAnsi="Times New Roman" w:hint="eastAsia"/>
          <w:color w:val="000000"/>
          <w:kern w:val="0"/>
          <w:sz w:val="24"/>
        </w:rPr>
        <w:t>。</w:t>
      </w:r>
    </w:p>
    <w:p w14:paraId="27DB1DE7" w14:textId="043379B1" w:rsidR="001B5F45" w:rsidRDefault="00C628CA" w:rsidP="00FD7B19">
      <w:pPr>
        <w:spacing w:line="360" w:lineRule="auto"/>
        <w:ind w:firstLineChars="200" w:firstLine="480"/>
        <w:jc w:val="left"/>
        <w:rPr>
          <w:rFonts w:ascii="Times New Roman" w:hAnsi="Times New Roman"/>
          <w:color w:val="000000"/>
          <w:kern w:val="0"/>
          <w:sz w:val="24"/>
        </w:rPr>
      </w:pPr>
      <w:r>
        <w:rPr>
          <w:rFonts w:ascii="Times New Roman" w:hAnsi="Times New Roman"/>
          <w:color w:val="000000"/>
          <w:kern w:val="0"/>
          <w:sz w:val="24"/>
        </w:rPr>
        <w:t>4</w:t>
      </w:r>
      <w:r w:rsidR="001B5F45">
        <w:rPr>
          <w:rFonts w:ascii="Times New Roman" w:hAnsi="Times New Roman" w:hint="eastAsia"/>
          <w:color w:val="000000"/>
          <w:kern w:val="0"/>
          <w:sz w:val="24"/>
        </w:rPr>
        <w:t>、公司未发现近期公共传媒报道了可能或已经对本公司股票交易价格产生</w:t>
      </w:r>
      <w:r w:rsidR="00A33DBF">
        <w:rPr>
          <w:rFonts w:ascii="Times New Roman" w:hAnsi="Times New Roman" w:hint="eastAsia"/>
          <w:color w:val="000000"/>
          <w:kern w:val="0"/>
          <w:sz w:val="24"/>
        </w:rPr>
        <w:t>较大影响的未公开重大信息。</w:t>
      </w:r>
    </w:p>
    <w:p w14:paraId="1C16EC27" w14:textId="63EE5919" w:rsidR="001B5F45" w:rsidRDefault="00C628CA" w:rsidP="00FD7B19">
      <w:pPr>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5</w:t>
      </w:r>
      <w:r w:rsidR="00B163BA">
        <w:rPr>
          <w:rFonts w:ascii="Times New Roman" w:hAnsi="Times New Roman" w:hint="eastAsia"/>
          <w:color w:val="000000"/>
          <w:kern w:val="0"/>
          <w:sz w:val="24"/>
        </w:rPr>
        <w:t>、</w:t>
      </w:r>
      <w:r w:rsidR="001B5F45" w:rsidRPr="00122DB6">
        <w:rPr>
          <w:rFonts w:ascii="Times New Roman" w:hAnsi="Times New Roman" w:hint="eastAsia"/>
          <w:color w:val="000000"/>
          <w:kern w:val="0"/>
          <w:sz w:val="24"/>
        </w:rPr>
        <w:t>经核查，</w:t>
      </w:r>
      <w:r w:rsidR="00032280">
        <w:rPr>
          <w:rFonts w:ascii="Times New Roman" w:hAnsi="Times New Roman" w:hint="eastAsia"/>
          <w:color w:val="000000"/>
          <w:kern w:val="0"/>
          <w:sz w:val="24"/>
        </w:rPr>
        <w:t>公司持股</w:t>
      </w:r>
      <w:r w:rsidR="00032280">
        <w:rPr>
          <w:rFonts w:ascii="Times New Roman" w:hAnsi="Times New Roman" w:hint="eastAsia"/>
          <w:color w:val="000000"/>
          <w:kern w:val="0"/>
          <w:sz w:val="24"/>
        </w:rPr>
        <w:t>5%</w:t>
      </w:r>
      <w:r w:rsidR="00032280">
        <w:rPr>
          <w:rFonts w:ascii="Times New Roman" w:hAnsi="Times New Roman" w:hint="eastAsia"/>
          <w:color w:val="000000"/>
          <w:kern w:val="0"/>
          <w:sz w:val="24"/>
        </w:rPr>
        <w:t>以上股东</w:t>
      </w:r>
      <w:r w:rsidR="000E0F05" w:rsidRPr="00122DB6">
        <w:rPr>
          <w:rFonts w:ascii="Times New Roman" w:hAnsi="Times New Roman" w:hint="eastAsia"/>
          <w:color w:val="000000"/>
          <w:kern w:val="0"/>
          <w:sz w:val="24"/>
        </w:rPr>
        <w:t>邹鹏先生</w:t>
      </w:r>
      <w:r w:rsidR="00352DEE">
        <w:rPr>
          <w:rFonts w:ascii="Times New Roman" w:hAnsi="Times New Roman" w:hint="eastAsia"/>
          <w:color w:val="000000"/>
          <w:kern w:val="0"/>
          <w:sz w:val="24"/>
        </w:rPr>
        <w:t>及公司董监高</w:t>
      </w:r>
      <w:r w:rsidR="00863220">
        <w:rPr>
          <w:rFonts w:ascii="Times New Roman" w:hAnsi="Times New Roman" w:hint="eastAsia"/>
          <w:color w:val="000000"/>
          <w:kern w:val="0"/>
          <w:sz w:val="24"/>
        </w:rPr>
        <w:t>（胡精沛先生除外）</w:t>
      </w:r>
      <w:r w:rsidR="00B66A69">
        <w:rPr>
          <w:rFonts w:ascii="Times New Roman" w:hAnsi="Times New Roman" w:hint="eastAsia"/>
          <w:color w:val="000000"/>
          <w:kern w:val="0"/>
          <w:sz w:val="24"/>
        </w:rPr>
        <w:t>均反馈</w:t>
      </w:r>
      <w:r w:rsidR="00352DEE">
        <w:rPr>
          <w:rFonts w:ascii="Times New Roman" w:hAnsi="Times New Roman" w:hint="eastAsia"/>
          <w:color w:val="000000"/>
          <w:kern w:val="0"/>
          <w:sz w:val="24"/>
        </w:rPr>
        <w:t>除</w:t>
      </w:r>
      <w:r w:rsidR="00B66A69">
        <w:rPr>
          <w:rFonts w:ascii="Times New Roman" w:hAnsi="Times New Roman" w:hint="eastAsia"/>
          <w:color w:val="000000"/>
          <w:kern w:val="0"/>
          <w:sz w:val="24"/>
        </w:rPr>
        <w:t>已披露的事项外，</w:t>
      </w:r>
      <w:r w:rsidR="001B5F45" w:rsidRPr="00122DB6">
        <w:rPr>
          <w:rFonts w:ascii="Times New Roman" w:hAnsi="Times New Roman" w:hint="eastAsia"/>
          <w:color w:val="000000"/>
          <w:kern w:val="0"/>
          <w:sz w:val="24"/>
        </w:rPr>
        <w:t>不存</w:t>
      </w:r>
      <w:r w:rsidR="001C192A" w:rsidRPr="00122DB6">
        <w:rPr>
          <w:rFonts w:ascii="Times New Roman" w:hAnsi="Times New Roman" w:hint="eastAsia"/>
          <w:color w:val="000000"/>
          <w:kern w:val="0"/>
          <w:sz w:val="24"/>
        </w:rPr>
        <w:t>在</w:t>
      </w:r>
      <w:r w:rsidR="001B5F45" w:rsidRPr="00122DB6">
        <w:rPr>
          <w:rFonts w:ascii="Times New Roman" w:hAnsi="Times New Roman" w:hint="eastAsia"/>
          <w:color w:val="000000"/>
          <w:kern w:val="0"/>
          <w:sz w:val="24"/>
        </w:rPr>
        <w:t>应披露而未披露的重大事项</w:t>
      </w:r>
      <w:r w:rsidR="00D2370B">
        <w:rPr>
          <w:rFonts w:ascii="Times New Roman" w:hAnsi="Times New Roman" w:hint="eastAsia"/>
          <w:color w:val="000000"/>
          <w:kern w:val="0"/>
          <w:sz w:val="24"/>
        </w:rPr>
        <w:t>，</w:t>
      </w:r>
      <w:r w:rsidR="00353541">
        <w:rPr>
          <w:rFonts w:ascii="Times New Roman" w:hAnsi="Times New Roman"/>
          <w:color w:val="000000"/>
          <w:kern w:val="0"/>
          <w:sz w:val="24"/>
        </w:rPr>
        <w:t>或处于筹划阶段的重大事项</w:t>
      </w:r>
      <w:r w:rsidR="00A33DBF">
        <w:rPr>
          <w:rFonts w:ascii="Times New Roman" w:hAnsi="Times New Roman" w:hint="eastAsia"/>
          <w:color w:val="000000"/>
          <w:kern w:val="0"/>
          <w:sz w:val="24"/>
        </w:rPr>
        <w:t>。</w:t>
      </w:r>
    </w:p>
    <w:p w14:paraId="366E67B7" w14:textId="67CFC7A9" w:rsidR="001B5F45" w:rsidRDefault="00C628CA" w:rsidP="00E758B1">
      <w:pPr>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6</w:t>
      </w:r>
      <w:r w:rsidR="002A57F0">
        <w:rPr>
          <w:rFonts w:ascii="Times New Roman" w:hAnsi="Times New Roman" w:hint="eastAsia"/>
          <w:color w:val="000000"/>
          <w:kern w:val="0"/>
          <w:sz w:val="24"/>
        </w:rPr>
        <w:t>、</w:t>
      </w:r>
      <w:r w:rsidR="00E758B1" w:rsidRPr="00E758B1">
        <w:rPr>
          <w:rFonts w:ascii="Times New Roman" w:hAnsi="Times New Roman" w:hint="eastAsia"/>
          <w:color w:val="000000"/>
          <w:kern w:val="0"/>
          <w:sz w:val="24"/>
        </w:rPr>
        <w:t>截止目前，公司经营情况运作正常，内外部经营环境未发生重大变化</w:t>
      </w:r>
      <w:r w:rsidR="00E758B1">
        <w:rPr>
          <w:rFonts w:ascii="Times New Roman" w:hAnsi="Times New Roman" w:hint="eastAsia"/>
          <w:color w:val="000000"/>
          <w:kern w:val="0"/>
          <w:sz w:val="24"/>
        </w:rPr>
        <w:t>。</w:t>
      </w:r>
    </w:p>
    <w:p w14:paraId="448D9F43" w14:textId="77777777" w:rsidR="001B5F45" w:rsidRDefault="001B5F45" w:rsidP="00053E53">
      <w:pPr>
        <w:spacing w:afterLines="50" w:after="156" w:line="480" w:lineRule="exact"/>
        <w:jc w:val="left"/>
        <w:rPr>
          <w:rFonts w:ascii="Times New Roman" w:hAnsi="Times New Roman"/>
          <w:b/>
          <w:color w:val="000000"/>
          <w:kern w:val="0"/>
          <w:sz w:val="24"/>
        </w:rPr>
      </w:pPr>
      <w:r>
        <w:rPr>
          <w:rFonts w:ascii="Times New Roman" w:hAnsi="Times New Roman" w:hint="eastAsia"/>
          <w:b/>
          <w:color w:val="000000"/>
          <w:kern w:val="0"/>
          <w:sz w:val="24"/>
        </w:rPr>
        <w:t>三、公司是否存在应披露而未披露信息的说明</w:t>
      </w:r>
    </w:p>
    <w:p w14:paraId="0823A7A2" w14:textId="4BEF4524" w:rsidR="001B5F45" w:rsidRDefault="001B5F45" w:rsidP="00165EBF">
      <w:pPr>
        <w:spacing w:afterLines="50" w:after="156"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公司董事会确认，</w:t>
      </w:r>
      <w:r w:rsidR="00B163BA">
        <w:rPr>
          <w:rFonts w:ascii="Times New Roman" w:hAnsi="Times New Roman" w:hint="eastAsia"/>
          <w:color w:val="000000"/>
          <w:kern w:val="0"/>
          <w:sz w:val="24"/>
        </w:rPr>
        <w:t>除前述事项外，</w:t>
      </w:r>
      <w:r>
        <w:rPr>
          <w:rFonts w:ascii="Times New Roman" w:hAnsi="Times New Roman" w:hint="eastAsia"/>
          <w:color w:val="000000"/>
          <w:kern w:val="0"/>
          <w:sz w:val="24"/>
        </w:rPr>
        <w:t>公司目前没有</w:t>
      </w:r>
      <w:r w:rsidR="00165EBF">
        <w:rPr>
          <w:rFonts w:ascii="Times New Roman" w:hAnsi="Times New Roman" w:hint="eastAsia"/>
          <w:color w:val="000000"/>
          <w:kern w:val="0"/>
          <w:sz w:val="24"/>
        </w:rPr>
        <w:t>任何</w:t>
      </w:r>
      <w:r>
        <w:rPr>
          <w:rFonts w:ascii="Times New Roman" w:hAnsi="Times New Roman" w:hint="eastAsia"/>
          <w:color w:val="000000"/>
          <w:kern w:val="0"/>
          <w:sz w:val="24"/>
        </w:rPr>
        <w:t>根据深交所《</w:t>
      </w:r>
      <w:r w:rsidR="00DE149F">
        <w:rPr>
          <w:rFonts w:ascii="Times New Roman" w:hAnsi="Times New Roman" w:hint="eastAsia"/>
          <w:color w:val="000000"/>
          <w:kern w:val="0"/>
          <w:sz w:val="24"/>
        </w:rPr>
        <w:t>深圳证券交易所</w:t>
      </w:r>
      <w:r>
        <w:rPr>
          <w:rFonts w:ascii="Times New Roman" w:hAnsi="Times New Roman" w:hint="eastAsia"/>
          <w:color w:val="000000"/>
          <w:kern w:val="0"/>
          <w:sz w:val="24"/>
        </w:rPr>
        <w:t>股票上市规则》等有关规定应予以披露而未披露的事项或与该事项有关的筹划、商谈、意向、协议等；董事会也未获悉本公司有根据深交所《</w:t>
      </w:r>
      <w:r w:rsidR="00DE149F">
        <w:rPr>
          <w:rFonts w:ascii="Times New Roman" w:hAnsi="Times New Roman" w:hint="eastAsia"/>
          <w:color w:val="000000"/>
          <w:kern w:val="0"/>
          <w:sz w:val="24"/>
        </w:rPr>
        <w:t>深圳证券交易所股票上市规则</w:t>
      </w:r>
      <w:r>
        <w:rPr>
          <w:rFonts w:ascii="Times New Roman" w:hAnsi="Times New Roman" w:hint="eastAsia"/>
          <w:color w:val="000000"/>
          <w:kern w:val="0"/>
          <w:sz w:val="24"/>
        </w:rPr>
        <w:t>》等有关规定应予以披露而未披露的、对本公司股票交易价格产生较大影响的信息；公司前期披露的信息不存在需要更正、补充之处。</w:t>
      </w:r>
    </w:p>
    <w:p w14:paraId="5AE2A09B" w14:textId="77777777" w:rsidR="001B5F45" w:rsidRDefault="001B5F45" w:rsidP="001B5F45">
      <w:pPr>
        <w:spacing w:afterLines="50" w:after="156" w:line="480" w:lineRule="exact"/>
        <w:jc w:val="left"/>
        <w:rPr>
          <w:rFonts w:ascii="Times New Roman" w:hAnsi="Times New Roman"/>
          <w:b/>
          <w:color w:val="000000"/>
          <w:kern w:val="0"/>
          <w:sz w:val="24"/>
        </w:rPr>
      </w:pPr>
      <w:r>
        <w:rPr>
          <w:rFonts w:ascii="Times New Roman" w:hAnsi="Times New Roman" w:hint="eastAsia"/>
          <w:b/>
          <w:color w:val="000000"/>
          <w:kern w:val="0"/>
          <w:sz w:val="24"/>
        </w:rPr>
        <w:t>四、风险提示</w:t>
      </w:r>
    </w:p>
    <w:p w14:paraId="43384156" w14:textId="77777777" w:rsidR="00DE149F" w:rsidRDefault="004D6BEF" w:rsidP="00FD7B19">
      <w:pPr>
        <w:spacing w:line="360" w:lineRule="auto"/>
        <w:ind w:firstLine="482"/>
        <w:rPr>
          <w:rFonts w:ascii="Times New Roman" w:hAnsi="Times New Roman"/>
          <w:color w:val="000000"/>
          <w:kern w:val="0"/>
          <w:sz w:val="24"/>
        </w:rPr>
      </w:pPr>
      <w:r>
        <w:rPr>
          <w:rFonts w:ascii="Times New Roman" w:hAnsi="Times New Roman" w:hint="eastAsia"/>
          <w:color w:val="000000"/>
          <w:kern w:val="0"/>
          <w:sz w:val="24"/>
        </w:rPr>
        <w:t>1</w:t>
      </w:r>
      <w:r w:rsidR="001B5F45">
        <w:rPr>
          <w:rFonts w:ascii="Times New Roman" w:hAnsi="Times New Roman" w:hint="eastAsia"/>
          <w:color w:val="000000"/>
          <w:kern w:val="0"/>
          <w:sz w:val="24"/>
        </w:rPr>
        <w:t>、</w:t>
      </w:r>
      <w:r w:rsidR="00DE149F">
        <w:rPr>
          <w:rFonts w:ascii="Times New Roman" w:hAnsi="Times New Roman" w:hint="eastAsia"/>
          <w:color w:val="000000"/>
          <w:kern w:val="0"/>
          <w:sz w:val="24"/>
        </w:rPr>
        <w:t>经自查，公司不存在违反公平信息披露的情形。</w:t>
      </w:r>
    </w:p>
    <w:p w14:paraId="602F50B7" w14:textId="76D918AE" w:rsidR="001B5F45" w:rsidRDefault="004D6BEF" w:rsidP="00FD7B19">
      <w:pPr>
        <w:spacing w:afterLines="50" w:after="156"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2</w:t>
      </w:r>
      <w:r w:rsidR="00DE149F">
        <w:rPr>
          <w:rFonts w:ascii="Times New Roman" w:hAnsi="Times New Roman" w:hint="eastAsia"/>
          <w:color w:val="000000"/>
          <w:kern w:val="0"/>
          <w:sz w:val="24"/>
        </w:rPr>
        <w:t>、</w:t>
      </w:r>
      <w:r w:rsidR="001B5F45">
        <w:rPr>
          <w:rFonts w:ascii="Times New Roman" w:hAnsi="Times New Roman" w:hint="eastAsia"/>
          <w:color w:val="000000"/>
          <w:kern w:val="0"/>
          <w:sz w:val="24"/>
        </w:rPr>
        <w:t>公司董事会郑重提醒广大投资者：公司指定信息披露媒体为《证券时报》、《中国证券报》和巨潮资讯网（</w:t>
      </w:r>
      <w:r w:rsidR="001B5F45">
        <w:rPr>
          <w:rFonts w:ascii="Times New Roman" w:hAnsi="Times New Roman"/>
          <w:color w:val="000000"/>
          <w:kern w:val="0"/>
          <w:sz w:val="24"/>
        </w:rPr>
        <w:t>www.cninfo.com.cn</w:t>
      </w:r>
      <w:r w:rsidR="001B5F45">
        <w:rPr>
          <w:rFonts w:ascii="Times New Roman" w:hAnsi="Times New Roman" w:hint="eastAsia"/>
          <w:color w:val="000000"/>
          <w:kern w:val="0"/>
          <w:sz w:val="24"/>
        </w:rPr>
        <w:t>）</w:t>
      </w:r>
      <w:r w:rsidR="00DE149F">
        <w:rPr>
          <w:rFonts w:ascii="Times New Roman" w:hAnsi="Times New Roman" w:hint="eastAsia"/>
          <w:color w:val="000000"/>
          <w:kern w:val="0"/>
          <w:sz w:val="24"/>
        </w:rPr>
        <w:t>，</w:t>
      </w:r>
      <w:r w:rsidR="001B5F45">
        <w:rPr>
          <w:rFonts w:ascii="Times New Roman" w:hAnsi="Times New Roman" w:hint="eastAsia"/>
          <w:color w:val="000000"/>
          <w:kern w:val="0"/>
          <w:sz w:val="24"/>
        </w:rPr>
        <w:t>公司所有信息披露均以上述媒体刊登的公告为准。</w:t>
      </w:r>
      <w:r w:rsidR="001B5F45">
        <w:rPr>
          <w:rFonts w:ascii="Times New Roman" w:hAnsi="Times New Roman"/>
          <w:color w:val="000000"/>
          <w:kern w:val="0"/>
          <w:sz w:val="24"/>
        </w:rPr>
        <w:t xml:space="preserve">   </w:t>
      </w:r>
    </w:p>
    <w:p w14:paraId="12385978" w14:textId="77777777" w:rsidR="001B5F45" w:rsidRDefault="001B5F45" w:rsidP="00FD7B19">
      <w:pPr>
        <w:spacing w:afterLines="50" w:after="156" w:line="480" w:lineRule="exact"/>
        <w:ind w:firstLineChars="200" w:firstLine="480"/>
        <w:rPr>
          <w:rFonts w:ascii="Times New Roman" w:hAnsi="Times New Roman"/>
          <w:color w:val="000000"/>
          <w:kern w:val="0"/>
          <w:sz w:val="24"/>
        </w:rPr>
      </w:pPr>
      <w:r>
        <w:rPr>
          <w:rFonts w:ascii="Times New Roman" w:hAnsi="Times New Roman" w:hint="eastAsia"/>
          <w:color w:val="000000"/>
          <w:kern w:val="0"/>
          <w:sz w:val="24"/>
        </w:rPr>
        <w:t>公司将严格按照有关法律法规的规定和要求，认真履行信息披露义务，及时做好信息披露工作。敬请广大投资者理性投资，注意风险。</w:t>
      </w:r>
    </w:p>
    <w:p w14:paraId="16CD1408" w14:textId="77777777" w:rsidR="00DE149F" w:rsidRDefault="00DE149F" w:rsidP="001B5F45">
      <w:pPr>
        <w:spacing w:afterLines="50" w:after="156" w:line="480" w:lineRule="exact"/>
        <w:ind w:firstLineChars="200" w:firstLine="480"/>
        <w:jc w:val="left"/>
        <w:rPr>
          <w:rFonts w:ascii="Times New Roman" w:hAnsi="Times New Roman"/>
          <w:color w:val="000000"/>
          <w:kern w:val="0"/>
          <w:sz w:val="24"/>
        </w:rPr>
      </w:pPr>
      <w:r>
        <w:rPr>
          <w:rFonts w:ascii="Times New Roman" w:hAnsi="Times New Roman" w:hint="eastAsia"/>
          <w:color w:val="000000"/>
          <w:kern w:val="0"/>
          <w:sz w:val="24"/>
        </w:rPr>
        <w:t>特此公告。</w:t>
      </w:r>
    </w:p>
    <w:p w14:paraId="54863CAA" w14:textId="77777777" w:rsidR="001B5F45" w:rsidRDefault="001B5F45" w:rsidP="00DE149F">
      <w:pPr>
        <w:spacing w:line="480" w:lineRule="exact"/>
        <w:ind w:right="120" w:firstLineChars="200" w:firstLine="480"/>
        <w:jc w:val="right"/>
        <w:rPr>
          <w:rFonts w:ascii="Times New Roman" w:hAnsi="Times New Roman"/>
          <w:color w:val="000000"/>
          <w:kern w:val="0"/>
          <w:sz w:val="24"/>
        </w:rPr>
      </w:pPr>
      <w:r>
        <w:rPr>
          <w:rFonts w:ascii="Times New Roman" w:hAnsi="Times New Roman" w:hint="eastAsia"/>
          <w:color w:val="000000"/>
          <w:kern w:val="0"/>
          <w:sz w:val="24"/>
        </w:rPr>
        <w:t>厦门万里石股份有限公司董事会</w:t>
      </w:r>
    </w:p>
    <w:p w14:paraId="3CD223B8" w14:textId="4FA179D7" w:rsidR="001B5F45" w:rsidRDefault="001B5F45" w:rsidP="001B5F45">
      <w:pPr>
        <w:spacing w:line="480" w:lineRule="exact"/>
        <w:ind w:firstLineChars="200" w:firstLine="480"/>
        <w:jc w:val="right"/>
        <w:rPr>
          <w:rFonts w:ascii="Times New Roman" w:hAnsi="Times New Roman"/>
          <w:color w:val="000000"/>
          <w:kern w:val="0"/>
          <w:sz w:val="24"/>
        </w:rPr>
      </w:pPr>
      <w:r>
        <w:rPr>
          <w:rFonts w:ascii="Times New Roman" w:hAnsi="Times New Roman"/>
          <w:color w:val="000000"/>
          <w:kern w:val="0"/>
          <w:sz w:val="24"/>
        </w:rPr>
        <w:t>20</w:t>
      </w:r>
      <w:r w:rsidR="00E758B1">
        <w:rPr>
          <w:rFonts w:ascii="Times New Roman" w:hAnsi="Times New Roman" w:hint="eastAsia"/>
          <w:color w:val="000000"/>
          <w:kern w:val="0"/>
          <w:sz w:val="24"/>
        </w:rPr>
        <w:t>2</w:t>
      </w:r>
      <w:r w:rsidR="004D324B">
        <w:rPr>
          <w:rFonts w:ascii="Times New Roman" w:hAnsi="Times New Roman"/>
          <w:color w:val="000000"/>
          <w:kern w:val="0"/>
          <w:sz w:val="24"/>
        </w:rPr>
        <w:t>3</w:t>
      </w:r>
      <w:r>
        <w:rPr>
          <w:rFonts w:ascii="Times New Roman" w:hAnsi="Times New Roman" w:hint="eastAsia"/>
          <w:color w:val="000000"/>
          <w:kern w:val="0"/>
          <w:sz w:val="24"/>
        </w:rPr>
        <w:t>年</w:t>
      </w:r>
      <w:r w:rsidR="004D324B">
        <w:rPr>
          <w:rFonts w:ascii="Times New Roman" w:hAnsi="Times New Roman"/>
          <w:color w:val="000000"/>
          <w:kern w:val="0"/>
          <w:sz w:val="24"/>
        </w:rPr>
        <w:t>2</w:t>
      </w:r>
      <w:r>
        <w:rPr>
          <w:rFonts w:ascii="Times New Roman" w:hAnsi="Times New Roman" w:hint="eastAsia"/>
          <w:color w:val="000000"/>
          <w:kern w:val="0"/>
          <w:sz w:val="24"/>
        </w:rPr>
        <w:t>月</w:t>
      </w:r>
      <w:r w:rsidR="004D324B">
        <w:rPr>
          <w:rFonts w:ascii="Times New Roman" w:hAnsi="Times New Roman"/>
          <w:color w:val="000000"/>
          <w:kern w:val="0"/>
          <w:sz w:val="24"/>
        </w:rPr>
        <w:t>9</w:t>
      </w:r>
      <w:r>
        <w:rPr>
          <w:rFonts w:ascii="Times New Roman" w:hAnsi="Times New Roman" w:hint="eastAsia"/>
          <w:color w:val="000000"/>
          <w:kern w:val="0"/>
          <w:sz w:val="24"/>
        </w:rPr>
        <w:t>日</w:t>
      </w:r>
    </w:p>
    <w:p w14:paraId="64B11B24" w14:textId="77777777" w:rsidR="001B5F45" w:rsidRDefault="001B5F45" w:rsidP="001B5F45"/>
    <w:sectPr w:rsidR="001B5F4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2094" w14:textId="77777777" w:rsidR="00E63CF6" w:rsidRDefault="00E63CF6" w:rsidP="004D6BEF">
      <w:r>
        <w:separator/>
      </w:r>
    </w:p>
  </w:endnote>
  <w:endnote w:type="continuationSeparator" w:id="0">
    <w:p w14:paraId="3EA0F1E6" w14:textId="77777777" w:rsidR="00E63CF6" w:rsidRDefault="00E63CF6" w:rsidP="004D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10FC" w14:textId="77777777" w:rsidR="00E63CF6" w:rsidRDefault="00E63CF6" w:rsidP="004D6BEF">
      <w:r>
        <w:separator/>
      </w:r>
    </w:p>
  </w:footnote>
  <w:footnote w:type="continuationSeparator" w:id="0">
    <w:p w14:paraId="56C4EEFA" w14:textId="77777777" w:rsidR="00E63CF6" w:rsidRDefault="00E63CF6" w:rsidP="004D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3845" w14:textId="77777777" w:rsidR="000E0F05" w:rsidRDefault="000E0F05" w:rsidP="00F5316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A6B"/>
    <w:rsid w:val="00017EF7"/>
    <w:rsid w:val="00032280"/>
    <w:rsid w:val="00053E53"/>
    <w:rsid w:val="00083A6B"/>
    <w:rsid w:val="000959CF"/>
    <w:rsid w:val="000B294A"/>
    <w:rsid w:val="000D4564"/>
    <w:rsid w:val="000E0F05"/>
    <w:rsid w:val="000E61F4"/>
    <w:rsid w:val="00122DB6"/>
    <w:rsid w:val="00165EBF"/>
    <w:rsid w:val="00190A9B"/>
    <w:rsid w:val="001A5243"/>
    <w:rsid w:val="001B5F45"/>
    <w:rsid w:val="001C192A"/>
    <w:rsid w:val="001D3A8A"/>
    <w:rsid w:val="002573FD"/>
    <w:rsid w:val="002A57F0"/>
    <w:rsid w:val="002B6697"/>
    <w:rsid w:val="0032665D"/>
    <w:rsid w:val="003519C4"/>
    <w:rsid w:val="00352DEE"/>
    <w:rsid w:val="00353541"/>
    <w:rsid w:val="0041287A"/>
    <w:rsid w:val="00431BF3"/>
    <w:rsid w:val="00443F98"/>
    <w:rsid w:val="004A7903"/>
    <w:rsid w:val="004D324B"/>
    <w:rsid w:val="004D6BEF"/>
    <w:rsid w:val="00503175"/>
    <w:rsid w:val="00545A82"/>
    <w:rsid w:val="00567CFB"/>
    <w:rsid w:val="00580A21"/>
    <w:rsid w:val="00584662"/>
    <w:rsid w:val="005A31CD"/>
    <w:rsid w:val="005A417E"/>
    <w:rsid w:val="005C2B0D"/>
    <w:rsid w:val="00693E7B"/>
    <w:rsid w:val="00726823"/>
    <w:rsid w:val="007327C5"/>
    <w:rsid w:val="0076419C"/>
    <w:rsid w:val="007B2E3B"/>
    <w:rsid w:val="007F7586"/>
    <w:rsid w:val="00806A45"/>
    <w:rsid w:val="00836656"/>
    <w:rsid w:val="00863220"/>
    <w:rsid w:val="00872D78"/>
    <w:rsid w:val="008E0865"/>
    <w:rsid w:val="009056BF"/>
    <w:rsid w:val="00907A48"/>
    <w:rsid w:val="00936E9A"/>
    <w:rsid w:val="0095169E"/>
    <w:rsid w:val="00A33DBF"/>
    <w:rsid w:val="00A85243"/>
    <w:rsid w:val="00AC2F74"/>
    <w:rsid w:val="00AD3BAF"/>
    <w:rsid w:val="00B163BA"/>
    <w:rsid w:val="00B52484"/>
    <w:rsid w:val="00B66A69"/>
    <w:rsid w:val="00B805CB"/>
    <w:rsid w:val="00B951E6"/>
    <w:rsid w:val="00B96BED"/>
    <w:rsid w:val="00BB635F"/>
    <w:rsid w:val="00BE0B4D"/>
    <w:rsid w:val="00C472DA"/>
    <w:rsid w:val="00C628CA"/>
    <w:rsid w:val="00C63874"/>
    <w:rsid w:val="00C722E8"/>
    <w:rsid w:val="00CD235A"/>
    <w:rsid w:val="00CF241C"/>
    <w:rsid w:val="00D0047B"/>
    <w:rsid w:val="00D2370B"/>
    <w:rsid w:val="00D25C26"/>
    <w:rsid w:val="00DE149F"/>
    <w:rsid w:val="00DF2B10"/>
    <w:rsid w:val="00E63CF6"/>
    <w:rsid w:val="00E758B1"/>
    <w:rsid w:val="00EA5383"/>
    <w:rsid w:val="00ED3CAA"/>
    <w:rsid w:val="00EF0AA5"/>
    <w:rsid w:val="00F04DC1"/>
    <w:rsid w:val="00F5316F"/>
    <w:rsid w:val="00F55821"/>
    <w:rsid w:val="00F74C1D"/>
    <w:rsid w:val="00FB64D1"/>
    <w:rsid w:val="00FD7B19"/>
    <w:rsid w:val="00FE3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92EFD9"/>
  <w15:docId w15:val="{4A47928A-8F23-4AE5-8BB3-BC7B1F13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F4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B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6BEF"/>
    <w:rPr>
      <w:rFonts w:ascii="Calibri" w:eastAsia="宋体" w:hAnsi="Calibri" w:cs="Times New Roman"/>
      <w:sz w:val="18"/>
      <w:szCs w:val="18"/>
    </w:rPr>
  </w:style>
  <w:style w:type="paragraph" w:styleId="a5">
    <w:name w:val="footer"/>
    <w:basedOn w:val="a"/>
    <w:link w:val="a6"/>
    <w:uiPriority w:val="99"/>
    <w:unhideWhenUsed/>
    <w:rsid w:val="004D6BEF"/>
    <w:pPr>
      <w:tabs>
        <w:tab w:val="center" w:pos="4153"/>
        <w:tab w:val="right" w:pos="8306"/>
      </w:tabs>
      <w:snapToGrid w:val="0"/>
      <w:jc w:val="left"/>
    </w:pPr>
    <w:rPr>
      <w:sz w:val="18"/>
      <w:szCs w:val="18"/>
    </w:rPr>
  </w:style>
  <w:style w:type="character" w:customStyle="1" w:styleId="a6">
    <w:name w:val="页脚 字符"/>
    <w:basedOn w:val="a0"/>
    <w:link w:val="a5"/>
    <w:uiPriority w:val="99"/>
    <w:rsid w:val="004D6BEF"/>
    <w:rPr>
      <w:rFonts w:ascii="Calibri" w:eastAsia="宋体" w:hAnsi="Calibri" w:cs="Times New Roman"/>
      <w:sz w:val="18"/>
      <w:szCs w:val="18"/>
    </w:rPr>
  </w:style>
  <w:style w:type="paragraph" w:styleId="a7">
    <w:name w:val="List Paragraph"/>
    <w:basedOn w:val="a"/>
    <w:uiPriority w:val="34"/>
    <w:qFormat/>
    <w:rsid w:val="00EF0A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胡子岚</dc:creator>
  <cp:keywords/>
  <dc:description/>
  <cp:lastModifiedBy>邓 金银</cp:lastModifiedBy>
  <cp:revision>56</cp:revision>
  <cp:lastPrinted>2020-08-18T09:58:00Z</cp:lastPrinted>
  <dcterms:created xsi:type="dcterms:W3CDTF">2016-01-21T06:09:00Z</dcterms:created>
  <dcterms:modified xsi:type="dcterms:W3CDTF">2023-02-08T11:38:00Z</dcterms:modified>
</cp:coreProperties>
</file>